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32"/>
          <w:szCs w:val="32"/>
        </w:rPr>
      </w:pPr>
    </w:p>
    <w:p>
      <w:pPr>
        <w:rPr>
          <w:rFonts w:ascii="Times New Roman" w:hAnsi="Times New Roman" w:eastAsia="黑体" w:cs="Times New Roman"/>
          <w:sz w:val="32"/>
          <w:szCs w:val="32"/>
        </w:rPr>
      </w:pPr>
    </w:p>
    <w:p>
      <w:pPr>
        <w:jc w:val="center"/>
        <w:rPr>
          <w:rFonts w:hint="eastAsia" w:ascii="黑体" w:hAnsi="黑体" w:eastAsia="黑体" w:cs="黑体"/>
          <w:b/>
          <w:bCs/>
          <w:w w:val="93"/>
          <w:sz w:val="58"/>
          <w:szCs w:val="44"/>
        </w:rPr>
      </w:pPr>
      <w:r>
        <w:rPr>
          <w:rFonts w:hint="eastAsia" w:ascii="黑体" w:hAnsi="黑体" w:eastAsia="黑体" w:cs="黑体"/>
          <w:b/>
          <w:bCs/>
          <w:w w:val="93"/>
          <w:sz w:val="58"/>
          <w:szCs w:val="44"/>
        </w:rPr>
        <w:t>湖南省精品在线开放课程</w:t>
      </w:r>
    </w:p>
    <w:p>
      <w:pPr>
        <w:jc w:val="center"/>
        <w:rPr>
          <w:rFonts w:hint="eastAsia" w:ascii="黑体" w:hAnsi="黑体" w:eastAsia="黑体" w:cs="黑体"/>
          <w:b/>
          <w:bCs/>
          <w:w w:val="93"/>
          <w:sz w:val="58"/>
          <w:szCs w:val="44"/>
        </w:rPr>
      </w:pPr>
      <w:r>
        <w:rPr>
          <w:rFonts w:hint="eastAsia" w:ascii="黑体" w:hAnsi="黑体" w:eastAsia="黑体" w:cs="黑体"/>
          <w:b/>
          <w:bCs/>
          <w:w w:val="93"/>
          <w:sz w:val="58"/>
          <w:szCs w:val="44"/>
        </w:rPr>
        <w:t>认定申报书</w:t>
      </w:r>
    </w:p>
    <w:p>
      <w:pPr>
        <w:rPr>
          <w:rFonts w:ascii="Times New Roman" w:hAnsi="Times New Roman" w:cs="Times New Roman" w:eastAsiaTheme="majorEastAsia"/>
          <w:sz w:val="32"/>
          <w:szCs w:val="32"/>
        </w:rPr>
      </w:pPr>
    </w:p>
    <w:p>
      <w:pPr>
        <w:spacing w:line="600" w:lineRule="exact"/>
        <w:ind w:right="28" w:firstLine="1280" w:firstLineChars="400"/>
        <w:rPr>
          <w:rFonts w:ascii="Times New Roman" w:hAnsi="Times New Roman" w:eastAsia="黑体" w:cs="Times New Roman"/>
          <w:sz w:val="32"/>
          <w:szCs w:val="36"/>
          <w:u w:val="single"/>
        </w:rPr>
      </w:pPr>
    </w:p>
    <w:p>
      <w:pPr>
        <w:spacing w:line="760" w:lineRule="exact"/>
        <w:ind w:right="28" w:firstLine="803" w:firstLineChars="250"/>
        <w:rPr>
          <w:rFonts w:ascii="Times New Roman" w:hAnsi="Times New Roman" w:eastAsia="宋体" w:cs="Times New Roman"/>
          <w:b/>
          <w:sz w:val="32"/>
          <w:szCs w:val="36"/>
        </w:rPr>
      </w:pPr>
      <w:r>
        <w:rPr>
          <w:rFonts w:ascii="Times New Roman" w:hAnsi="Times New Roman" w:cs="Times New Roman"/>
          <w:b/>
          <w:sz w:val="32"/>
          <w:szCs w:val="36"/>
        </w:rPr>
        <w:t>课程名称：</w:t>
      </w:r>
      <w:r>
        <w:rPr>
          <w:rFonts w:hint="eastAsia" w:ascii="仿宋" w:hAnsi="仿宋" w:eastAsia="仿宋" w:cs="仿宋"/>
          <w:b/>
          <w:sz w:val="32"/>
          <w:szCs w:val="36"/>
        </w:rPr>
        <w:t>导游实务</w:t>
      </w:r>
    </w:p>
    <w:p>
      <w:pPr>
        <w:spacing w:line="760" w:lineRule="exact"/>
        <w:ind w:right="28" w:firstLine="803" w:firstLineChars="250"/>
        <w:rPr>
          <w:rFonts w:ascii="Times New Roman" w:hAnsi="Times New Roman" w:cs="Times New Roman"/>
          <w:b/>
          <w:sz w:val="32"/>
          <w:szCs w:val="36"/>
        </w:rPr>
      </w:pPr>
      <w:r>
        <w:rPr>
          <w:rFonts w:ascii="Times New Roman" w:hAnsi="Times New Roman" w:cs="Times New Roman"/>
          <w:b/>
          <w:sz w:val="32"/>
          <w:szCs w:val="36"/>
        </w:rPr>
        <w:t>课程负责人：</w:t>
      </w:r>
      <w:r>
        <w:rPr>
          <w:rFonts w:hint="eastAsia" w:ascii="仿宋" w:hAnsi="仿宋" w:eastAsia="仿宋" w:cs="仿宋"/>
          <w:b/>
          <w:sz w:val="32"/>
          <w:szCs w:val="36"/>
        </w:rPr>
        <w:t>周慧玲</w:t>
      </w:r>
    </w:p>
    <w:p>
      <w:pPr>
        <w:spacing w:line="760" w:lineRule="exact"/>
        <w:ind w:right="28" w:firstLine="803" w:firstLineChars="250"/>
        <w:rPr>
          <w:rFonts w:ascii="Times New Roman" w:hAnsi="Times New Roman" w:cs="Times New Roman"/>
          <w:b/>
          <w:sz w:val="32"/>
          <w:szCs w:val="36"/>
        </w:rPr>
      </w:pPr>
      <w:r>
        <w:rPr>
          <w:rFonts w:ascii="Times New Roman" w:hAnsi="Times New Roman" w:cs="Times New Roman"/>
          <w:b/>
          <w:sz w:val="32"/>
          <w:szCs w:val="36"/>
        </w:rPr>
        <w:t>联系电话：</w:t>
      </w:r>
      <w:r>
        <w:rPr>
          <w:rFonts w:hint="eastAsia" w:ascii="仿宋" w:hAnsi="仿宋" w:eastAsia="仿宋" w:cs="仿宋"/>
          <w:b/>
          <w:sz w:val="32"/>
          <w:szCs w:val="36"/>
        </w:rPr>
        <w:t>18674633325</w:t>
      </w:r>
    </w:p>
    <w:p>
      <w:pPr>
        <w:spacing w:line="760" w:lineRule="exact"/>
        <w:ind w:right="28" w:firstLine="803" w:firstLineChars="250"/>
        <w:rPr>
          <w:rFonts w:ascii="Times New Roman" w:hAnsi="Times New Roman" w:cs="Times New Roman"/>
          <w:b/>
          <w:sz w:val="32"/>
          <w:szCs w:val="36"/>
        </w:rPr>
      </w:pPr>
      <w:r>
        <w:rPr>
          <w:rFonts w:ascii="Times New Roman" w:hAnsi="Times New Roman" w:cs="Times New Roman"/>
          <w:b/>
          <w:sz w:val="32"/>
          <w:szCs w:val="36"/>
        </w:rPr>
        <w:t>课程学校：</w:t>
      </w:r>
      <w:r>
        <w:rPr>
          <w:rFonts w:hint="eastAsia" w:ascii="仿宋" w:hAnsi="仿宋" w:eastAsia="仿宋" w:cs="仿宋"/>
          <w:b/>
          <w:sz w:val="32"/>
          <w:szCs w:val="36"/>
        </w:rPr>
        <w:t>湖南科技学院</w:t>
      </w:r>
    </w:p>
    <w:p>
      <w:pPr>
        <w:spacing w:line="760" w:lineRule="exact"/>
        <w:ind w:right="28" w:firstLine="803" w:firstLineChars="250"/>
        <w:rPr>
          <w:rFonts w:ascii="Times New Roman" w:hAnsi="Times New Roman" w:cs="Times New Roman"/>
          <w:b/>
          <w:sz w:val="32"/>
          <w:szCs w:val="36"/>
        </w:rPr>
      </w:pPr>
      <w:r>
        <w:rPr>
          <w:rFonts w:ascii="Times New Roman" w:hAnsi="Times New Roman" w:cs="Times New Roman"/>
          <w:b/>
          <w:sz w:val="32"/>
          <w:szCs w:val="36"/>
        </w:rPr>
        <w:t>专业代码：</w:t>
      </w:r>
      <w:r>
        <w:rPr>
          <w:rFonts w:hint="eastAsia" w:ascii="仿宋" w:hAnsi="仿宋" w:eastAsia="仿宋" w:cs="仿宋"/>
          <w:b/>
          <w:sz w:val="32"/>
          <w:szCs w:val="36"/>
        </w:rPr>
        <w:t>1209</w:t>
      </w:r>
      <w:bookmarkStart w:id="0" w:name="_GoBack"/>
      <w:bookmarkEnd w:id="0"/>
    </w:p>
    <w:p>
      <w:pPr>
        <w:spacing w:line="760" w:lineRule="exact"/>
        <w:ind w:left="420" w:leftChars="0" w:right="28" w:firstLine="420" w:firstLineChars="0"/>
        <w:rPr>
          <w:rFonts w:hint="default" w:ascii="仿宋" w:hAnsi="仿宋" w:eastAsia="仿宋" w:cs="仿宋"/>
          <w:b/>
          <w:sz w:val="32"/>
          <w:szCs w:val="36"/>
          <w:lang w:val="en-US" w:eastAsia="zh-CN"/>
        </w:rPr>
      </w:pPr>
      <w:r>
        <w:rPr>
          <w:rFonts w:ascii="Times New Roman" w:hAnsi="Times New Roman" w:cs="Times New Roman"/>
          <w:b/>
          <w:sz w:val="32"/>
          <w:szCs w:val="36"/>
        </w:rPr>
        <w:t>开课平台：</w:t>
      </w:r>
      <w:r>
        <w:rPr>
          <w:rFonts w:hint="eastAsia" w:ascii="仿宋" w:hAnsi="仿宋" w:eastAsia="仿宋" w:cs="仿宋"/>
          <w:b/>
          <w:sz w:val="32"/>
          <w:szCs w:val="36"/>
          <w:lang w:val="en-US" w:eastAsia="zh-CN"/>
        </w:rPr>
        <w:t>（1）超星学银在线</w:t>
      </w:r>
    </w:p>
    <w:p>
      <w:pPr>
        <w:spacing w:line="760" w:lineRule="exact"/>
        <w:ind w:right="28" w:firstLine="2249" w:firstLineChars="700"/>
        <w:rPr>
          <w:rFonts w:ascii="Times New Roman" w:hAnsi="Times New Roman" w:cs="Times New Roman"/>
          <w:b/>
          <w:sz w:val="32"/>
          <w:szCs w:val="36"/>
        </w:rPr>
      </w:pPr>
      <w:r>
        <w:rPr>
          <w:rFonts w:hint="eastAsia" w:ascii="仿宋" w:hAnsi="仿宋" w:eastAsia="仿宋" w:cs="仿宋"/>
          <w:b/>
          <w:sz w:val="32"/>
          <w:szCs w:val="36"/>
          <w:lang w:val="en-US" w:eastAsia="zh-CN"/>
        </w:rPr>
        <w:t>（2）中国大学mooc</w:t>
      </w:r>
    </w:p>
    <w:p>
      <w:pPr>
        <w:spacing w:line="760" w:lineRule="exact"/>
        <w:ind w:right="28" w:firstLine="803" w:firstLineChars="250"/>
        <w:rPr>
          <w:rFonts w:hint="default" w:ascii="Times New Roman" w:hAnsi="Times New Roman" w:cs="Times New Roman" w:eastAsiaTheme="minorEastAsia"/>
          <w:b/>
          <w:sz w:val="32"/>
          <w:szCs w:val="36"/>
          <w:u w:val="single"/>
          <w:lang w:val="en-US" w:eastAsia="zh-CN"/>
        </w:rPr>
      </w:pPr>
      <w:r>
        <w:rPr>
          <w:rFonts w:ascii="Times New Roman" w:hAnsi="Times New Roman" w:cs="Times New Roman"/>
          <w:b/>
          <w:sz w:val="32"/>
          <w:szCs w:val="36"/>
        </w:rPr>
        <w:t>填表日期：</w:t>
      </w:r>
      <w:r>
        <w:rPr>
          <w:rFonts w:hint="eastAsia" w:ascii="Times New Roman" w:hAnsi="Times New Roman" w:cs="Times New Roman"/>
          <w:b/>
          <w:sz w:val="32"/>
          <w:szCs w:val="36"/>
          <w:lang w:val="en-US" w:eastAsia="zh-CN"/>
        </w:rPr>
        <w:t>2020年12月25日</w:t>
      </w:r>
    </w:p>
    <w:p>
      <w:pPr>
        <w:spacing w:line="520" w:lineRule="exact"/>
        <w:ind w:right="28" w:firstLine="1280" w:firstLineChars="400"/>
        <w:rPr>
          <w:rFonts w:ascii="Times New Roman" w:hAnsi="Times New Roman" w:eastAsia="仿宋_GB2312" w:cs="Times New Roman"/>
          <w:sz w:val="32"/>
          <w:szCs w:val="36"/>
          <w:u w:val="single"/>
        </w:rPr>
      </w:pPr>
    </w:p>
    <w:p>
      <w:pPr>
        <w:spacing w:line="520" w:lineRule="exact"/>
        <w:ind w:right="28" w:firstLine="1280" w:firstLineChars="400"/>
        <w:rPr>
          <w:rFonts w:ascii="Times New Roman" w:hAnsi="Times New Roman" w:eastAsia="仿宋_GB2312" w:cs="Times New Roman"/>
          <w:sz w:val="32"/>
          <w:szCs w:val="36"/>
          <w:u w:val="single"/>
        </w:rPr>
      </w:pPr>
    </w:p>
    <w:p>
      <w:pPr>
        <w:spacing w:line="520" w:lineRule="exact"/>
        <w:ind w:right="28" w:firstLine="1280" w:firstLineChars="400"/>
        <w:rPr>
          <w:rFonts w:ascii="Times New Roman" w:hAnsi="Times New Roman" w:eastAsia="仿宋_GB2312" w:cs="Times New Roman"/>
          <w:sz w:val="32"/>
          <w:szCs w:val="36"/>
          <w:u w:val="single"/>
        </w:rPr>
      </w:pPr>
    </w:p>
    <w:p>
      <w:pPr>
        <w:spacing w:line="520" w:lineRule="exact"/>
        <w:ind w:right="28" w:firstLine="1280" w:firstLineChars="400"/>
        <w:rPr>
          <w:rFonts w:ascii="Times New Roman" w:hAnsi="Times New Roman" w:eastAsia="仿宋_GB2312" w:cs="Times New Roman"/>
          <w:sz w:val="32"/>
          <w:szCs w:val="36"/>
          <w:u w:val="single"/>
        </w:rPr>
      </w:pPr>
    </w:p>
    <w:p>
      <w:pPr>
        <w:spacing w:line="600" w:lineRule="exact"/>
        <w:ind w:right="28"/>
        <w:jc w:val="center"/>
        <w:rPr>
          <w:rFonts w:ascii="Times New Roman" w:hAnsi="Times New Roman" w:eastAsia="楷体_GB2312" w:cs="Times New Roman"/>
          <w:b/>
          <w:sz w:val="36"/>
          <w:szCs w:val="36"/>
        </w:rPr>
      </w:pPr>
      <w:r>
        <w:rPr>
          <w:rFonts w:ascii="Times New Roman" w:hAnsi="Times New Roman" w:eastAsia="楷体_GB2312" w:cs="Times New Roman"/>
          <w:b/>
          <w:spacing w:val="40"/>
          <w:sz w:val="36"/>
          <w:szCs w:val="36"/>
        </w:rPr>
        <w:t>湖南省教育厅</w:t>
      </w:r>
      <w:r>
        <w:rPr>
          <w:rFonts w:ascii="Times New Roman" w:hAnsi="Times New Roman" w:eastAsia="楷体_GB2312" w:cs="Times New Roman"/>
          <w:b/>
          <w:sz w:val="36"/>
          <w:szCs w:val="36"/>
        </w:rPr>
        <w:t>制</w:t>
      </w:r>
    </w:p>
    <w:p>
      <w:pPr>
        <w:spacing w:line="600" w:lineRule="exact"/>
        <w:ind w:right="28"/>
        <w:jc w:val="center"/>
        <w:rPr>
          <w:rFonts w:ascii="Times New Roman" w:hAnsi="Times New Roman" w:eastAsia="方正小标宋简体" w:cs="Times New Roman"/>
          <w:spacing w:val="320"/>
          <w:sz w:val="44"/>
          <w:szCs w:val="44"/>
        </w:rPr>
      </w:pP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年十一月</w:t>
      </w:r>
      <w:r>
        <w:rPr>
          <w:rFonts w:ascii="Times New Roman" w:hAnsi="Times New Roman" w:eastAsia="方正小标宋简体" w:cs="Times New Roman"/>
          <w:spacing w:val="320"/>
          <w:sz w:val="44"/>
          <w:szCs w:val="44"/>
        </w:rPr>
        <w:br w:type="page"/>
      </w:r>
    </w:p>
    <w:p>
      <w:pPr>
        <w:snapToGrid w:val="0"/>
        <w:spacing w:line="240" w:lineRule="atLeast"/>
        <w:jc w:val="center"/>
        <w:rPr>
          <w:rFonts w:ascii="Times New Roman" w:hAnsi="Times New Roman" w:eastAsia="方正小标宋简体" w:cs="Times New Roman"/>
          <w:sz w:val="44"/>
          <w:szCs w:val="44"/>
        </w:rPr>
      </w:pPr>
      <w:r>
        <w:rPr>
          <w:rFonts w:ascii="Times New Roman" w:hAnsi="Times New Roman" w:eastAsia="方正小标宋简体" w:cs="Times New Roman"/>
          <w:spacing w:val="320"/>
          <w:sz w:val="44"/>
          <w:szCs w:val="44"/>
        </w:rPr>
        <w:t>填表说</w:t>
      </w:r>
      <w:r>
        <w:rPr>
          <w:rFonts w:ascii="Times New Roman" w:hAnsi="Times New Roman" w:eastAsia="方正小标宋简体" w:cs="Times New Roman"/>
          <w:sz w:val="44"/>
          <w:szCs w:val="44"/>
        </w:rPr>
        <w:t>明</w:t>
      </w:r>
    </w:p>
    <w:p>
      <w:pPr>
        <w:snapToGrid w:val="0"/>
        <w:spacing w:line="240" w:lineRule="atLeast"/>
        <w:ind w:firstLine="539"/>
        <w:jc w:val="center"/>
        <w:rPr>
          <w:rFonts w:ascii="Times New Roman" w:hAnsi="Times New Roman" w:eastAsia="黑体" w:cs="Times New Roman"/>
          <w:sz w:val="28"/>
          <w:szCs w:val="24"/>
        </w:rPr>
      </w:pPr>
    </w:p>
    <w:p>
      <w:pPr>
        <w:spacing w:line="7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1．开课平台是指提供面向高校和社会开放学习服务的公开慕课平台。</w:t>
      </w:r>
    </w:p>
    <w:p>
      <w:pPr>
        <w:adjustRightInd w:val="0"/>
        <w:snapToGrid w:val="0"/>
        <w:spacing w:line="560" w:lineRule="exact"/>
        <w:ind w:firstLine="640" w:firstLineChars="200"/>
        <w:rPr>
          <w:rFonts w:ascii="仿宋_GB2312" w:hAnsi="仿宋" w:eastAsia="仿宋_GB2312"/>
          <w:sz w:val="32"/>
          <w:szCs w:val="32"/>
        </w:rPr>
      </w:pPr>
      <w:r>
        <w:rPr>
          <w:rFonts w:ascii="Times New Roman" w:hAnsi="Times New Roman" w:eastAsia="仿宋_GB2312" w:cs="Times New Roman"/>
          <w:sz w:val="32"/>
          <w:szCs w:val="32"/>
        </w:rPr>
        <w:t>2．申报课程名称、课程团队须与平台实际开课情况一致，若在多个平台开课，须选择一个主要的平台进行填报。</w:t>
      </w:r>
      <w:r>
        <w:rPr>
          <w:rFonts w:hint="eastAsia" w:ascii="仿宋_GB2312" w:hAnsi="仿宋" w:eastAsia="仿宋_GB2312"/>
          <w:sz w:val="32"/>
          <w:szCs w:val="32"/>
        </w:rPr>
        <w:t xml:space="preserve">多个平台的有关数据可按平台分别提供“课程数据信息表”（附件10）。 </w:t>
      </w:r>
      <w:r>
        <w:rPr>
          <w:rFonts w:ascii="Times New Roman" w:hAnsi="Times New Roman" w:eastAsia="仿宋_GB2312" w:cs="Times New Roman"/>
          <w:sz w:val="32"/>
          <w:szCs w:val="32"/>
        </w:rPr>
        <w:t xml:space="preserve"> </w:t>
      </w:r>
    </w:p>
    <w:p>
      <w:pPr>
        <w:spacing w:line="7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3．申报课程因课时确实较长而分段在线开课，并由不同负责人主持的，可多人联合申报同一门课程。</w:t>
      </w:r>
    </w:p>
    <w:p>
      <w:pPr>
        <w:spacing w:line="7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4．专业类代码指《普通高等学校本科专业目录(2020)》中的专业类代码（四位数字）。没有对应学科专业的课程，填写“0000”。</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5.如表格篇幅不够，可另按所填表格格式附纸。</w:t>
      </w:r>
    </w:p>
    <w:p>
      <w:pPr>
        <w:widowControl/>
        <w:jc w:val="left"/>
        <w:rPr>
          <w:rFonts w:ascii="Times New Roman" w:hAnsi="Times New Roman" w:cs="Times New Roman" w:eastAsiaTheme="majorEastAsia"/>
          <w:sz w:val="32"/>
          <w:szCs w:val="32"/>
        </w:rPr>
      </w:pPr>
      <w:r>
        <w:rPr>
          <w:rFonts w:ascii="Times New Roman" w:hAnsi="Times New Roman" w:cs="Times New Roman" w:eastAsiaTheme="majorEastAsia"/>
          <w:kern w:val="0"/>
          <w:sz w:val="32"/>
          <w:szCs w:val="32"/>
        </w:rPr>
        <w:br w:type="page"/>
      </w:r>
    </w:p>
    <w:p>
      <w:pPr>
        <w:rPr>
          <w:rFonts w:ascii="Times New Roman" w:hAnsi="Times New Roman" w:eastAsia="黑体" w:cs="Times New Roman"/>
          <w:sz w:val="32"/>
          <w:szCs w:val="32"/>
        </w:rPr>
      </w:pPr>
      <w:r>
        <w:rPr>
          <w:rFonts w:ascii="Times New Roman" w:hAnsi="Times New Roman" w:eastAsia="黑体" w:cs="Times New Roman"/>
          <w:b/>
          <w:sz w:val="28"/>
        </w:rPr>
        <w:t>1.</w:t>
      </w:r>
      <w:r>
        <w:rPr>
          <w:rFonts w:ascii="Times New Roman" w:hAnsi="Times New Roman" w:eastAsia="黑体" w:cs="Times New Roman"/>
          <w:sz w:val="32"/>
          <w:szCs w:val="32"/>
        </w:rPr>
        <w:t>课程基本情况</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6"/>
        <w:gridCol w:w="70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课程名称</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hint="eastAsia" w:hAnsiTheme="minorHAnsi"/>
                <w:color w:val="000000" w:themeColor="text1"/>
                <w:kern w:val="0"/>
                <w:sz w:val="24"/>
                <w:lang w:val="en-US" w:eastAsia="zh-CN"/>
                <w14:textFill>
                  <w14:solidFill>
                    <w14:schemeClr w14:val="tx1"/>
                  </w14:solidFill>
                </w14:textFill>
              </w:rPr>
              <w:t>导游实务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课程负责人</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hint="eastAsia" w:hAnsiTheme="minorHAnsi"/>
                <w:color w:val="000000" w:themeColor="text1"/>
                <w:kern w:val="0"/>
                <w:sz w:val="24"/>
                <w:lang w:val="en-US" w:eastAsia="zh-CN"/>
                <w14:textFill>
                  <w14:solidFill>
                    <w14:schemeClr w14:val="tx1"/>
                  </w14:solidFill>
                </w14:textFill>
              </w:rPr>
              <w:t xml:space="preserve">周慧玲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课程对象</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sym w:font="Wingdings 2" w:char="0052"/>
            </w:r>
            <w:r>
              <w:rPr>
                <w:rFonts w:ascii="Times New Roman" w:hAnsi="Times New Roman" w:cs="Times New Roman"/>
                <w:color w:val="auto"/>
                <w:kern w:val="0"/>
                <w:sz w:val="24"/>
                <w:szCs w:val="20"/>
              </w:rPr>
              <w:t>本科生   □专科生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课程类型</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 xml:space="preserve">□公共课 □专业基础课 </w:t>
            </w:r>
            <w:r>
              <w:rPr>
                <w:rFonts w:ascii="Times New Roman" w:hAnsi="Times New Roman" w:cs="Times New Roman"/>
                <w:color w:val="auto"/>
                <w:kern w:val="0"/>
                <w:sz w:val="24"/>
                <w:szCs w:val="20"/>
              </w:rPr>
              <w:sym w:font="Wingdings 2" w:char="0052"/>
            </w:r>
            <w:r>
              <w:rPr>
                <w:rFonts w:ascii="Times New Roman" w:hAnsi="Times New Roman" w:cs="Times New Roman"/>
                <w:color w:val="auto"/>
                <w:kern w:val="0"/>
                <w:sz w:val="24"/>
                <w:szCs w:val="20"/>
              </w:rPr>
              <w:t>专业核心课 □其他</w:t>
            </w:r>
          </w:p>
          <w:p>
            <w:pP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□思想政治理论课 □文化素质教育课 □创新创业课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开课平台</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hint="default" w:ascii="Times New Roman" w:hAnsi="Times New Roman" w:eastAsia="宋体" w:cs="Times New Roman"/>
                <w:color w:val="auto"/>
                <w:kern w:val="0"/>
                <w:sz w:val="24"/>
                <w:szCs w:val="24"/>
                <w:lang w:val="en-US"/>
              </w:rPr>
            </w:pPr>
            <w:r>
              <w:rPr>
                <w:rFonts w:hint="eastAsia" w:hAnsiTheme="minorHAnsi"/>
                <w:color w:val="000000" w:themeColor="text1"/>
                <w:kern w:val="0"/>
                <w:sz w:val="24"/>
                <w:lang w:val="en-US" w:eastAsia="zh-CN"/>
                <w14:textFill>
                  <w14:solidFill>
                    <w14:schemeClr w14:val="tx1"/>
                  </w14:solidFill>
                </w14:textFill>
              </w:rPr>
              <w:t>中国大学MOOC</w:t>
            </w:r>
            <w:r>
              <w:rPr>
                <w:rFonts w:hint="eastAsia"/>
                <w:color w:val="000000" w:themeColor="text1"/>
                <w:kern w:val="0"/>
                <w:sz w:val="24"/>
                <w:lang w:val="en-US" w:eastAsia="zh-CN"/>
                <w14:textFill>
                  <w14:solidFill>
                    <w14:schemeClr w14:val="tx1"/>
                  </w14:solidFill>
                </w14:textFill>
              </w:rPr>
              <w:t>、超星学银在线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平台首页网址</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hint="eastAsia"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fldChar w:fldCharType="begin"/>
            </w:r>
            <w:r>
              <w:rPr>
                <w:rFonts w:hint="eastAsia" w:ascii="Times New Roman" w:hAnsi="Times New Roman" w:eastAsia="宋体" w:cs="Times New Roman"/>
                <w:color w:val="auto"/>
                <w:kern w:val="0"/>
                <w:sz w:val="24"/>
                <w:szCs w:val="24"/>
              </w:rPr>
              <w:instrText xml:space="preserve"> HYPERLINK "https://www.icourse163.org/" </w:instrText>
            </w:r>
            <w:r>
              <w:rPr>
                <w:rFonts w:hint="eastAsia" w:ascii="Times New Roman" w:hAnsi="Times New Roman" w:eastAsia="宋体" w:cs="Times New Roman"/>
                <w:color w:val="auto"/>
                <w:kern w:val="0"/>
                <w:sz w:val="24"/>
                <w:szCs w:val="24"/>
              </w:rPr>
              <w:fldChar w:fldCharType="separate"/>
            </w:r>
            <w:r>
              <w:rPr>
                <w:rStyle w:val="10"/>
                <w:rFonts w:hint="eastAsia" w:ascii="Times New Roman" w:hAnsi="Times New Roman" w:eastAsia="宋体" w:cs="Times New Roman"/>
                <w:kern w:val="0"/>
                <w:sz w:val="24"/>
                <w:szCs w:val="24"/>
              </w:rPr>
              <w:t>https://www.icourse163.org/</w:t>
            </w:r>
            <w:r>
              <w:rPr>
                <w:rFonts w:hint="eastAsia" w:ascii="Times New Roman" w:hAnsi="Times New Roman" w:eastAsia="宋体" w:cs="Times New Roman"/>
                <w:color w:val="auto"/>
                <w:kern w:val="0"/>
                <w:sz w:val="24"/>
                <w:szCs w:val="24"/>
              </w:rPr>
              <w:fldChar w:fldCharType="end"/>
            </w:r>
          </w:p>
          <w:p>
            <w:pPr>
              <w:rPr>
                <w:rFonts w:hint="eastAsia"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t>http://www.xueyinonline.com/</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首期上线时间</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hint="default" w:ascii="Times New Roman" w:hAnsi="Times New Roman" w:eastAsia="宋体" w:cs="Times New Roman"/>
                <w:color w:val="auto"/>
                <w:kern w:val="0"/>
                <w:sz w:val="24"/>
                <w:szCs w:val="24"/>
                <w:lang w:val="en-US" w:eastAsia="zh-CN"/>
              </w:rPr>
            </w:pPr>
            <w:r>
              <w:rPr>
                <w:rFonts w:hint="eastAsia" w:ascii="Times New Roman" w:hAnsi="Times New Roman" w:eastAsia="宋体" w:cs="Times New Roman"/>
                <w:color w:val="auto"/>
                <w:kern w:val="0"/>
                <w:sz w:val="24"/>
                <w:szCs w:val="24"/>
                <w:lang w:val="en-US" w:eastAsia="zh-CN"/>
              </w:rPr>
              <w:t>2019年11月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课程开设期次</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hint="eastAsia" w:ascii="Times New Roman" w:hAnsi="Times New Roman" w:eastAsia="宋体" w:cs="Times New Roman"/>
                <w:color w:val="auto"/>
                <w:kern w:val="0"/>
                <w:sz w:val="24"/>
                <w:szCs w:val="24"/>
                <w:lang w:val="en-US" w:eastAsia="zh-CN"/>
              </w:rPr>
            </w:pPr>
            <w:r>
              <w:rPr>
                <w:rFonts w:hint="eastAsia" w:ascii="Times New Roman" w:hAnsi="Times New Roman" w:eastAsia="宋体" w:cs="Times New Roman"/>
                <w:color w:val="auto"/>
                <w:kern w:val="0"/>
                <w:sz w:val="24"/>
                <w:szCs w:val="24"/>
                <w:lang w:val="en-US" w:eastAsia="zh-CN"/>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课程链接</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Style w:val="10"/>
                <w:rFonts w:hint="eastAsia" w:ascii="Times New Roman" w:hAnsi="Times New Roman" w:eastAsia="宋体" w:cs="Times New Roman"/>
                <w:kern w:val="0"/>
                <w:sz w:val="24"/>
                <w:szCs w:val="24"/>
              </w:rPr>
            </w:pPr>
            <w:r>
              <w:rPr>
                <w:rFonts w:hint="eastAsia" w:ascii="Times New Roman" w:hAnsi="Times New Roman" w:eastAsia="宋体" w:cs="Times New Roman"/>
                <w:color w:val="auto"/>
                <w:kern w:val="0"/>
                <w:sz w:val="24"/>
                <w:szCs w:val="24"/>
              </w:rPr>
              <w:fldChar w:fldCharType="begin"/>
            </w:r>
            <w:r>
              <w:rPr>
                <w:rFonts w:hint="eastAsia" w:ascii="Times New Roman" w:hAnsi="Times New Roman" w:eastAsia="宋体" w:cs="Times New Roman"/>
                <w:color w:val="auto"/>
                <w:kern w:val="0"/>
                <w:sz w:val="24"/>
                <w:szCs w:val="24"/>
              </w:rPr>
              <w:instrText xml:space="preserve"> HYPERLINK "http://www.icourse163.org/course/HUSE-1207217802?tid=1207539205" </w:instrText>
            </w:r>
            <w:r>
              <w:rPr>
                <w:rFonts w:hint="eastAsia" w:ascii="Times New Roman" w:hAnsi="Times New Roman" w:eastAsia="宋体" w:cs="Times New Roman"/>
                <w:color w:val="auto"/>
                <w:kern w:val="0"/>
                <w:sz w:val="24"/>
                <w:szCs w:val="24"/>
              </w:rPr>
              <w:fldChar w:fldCharType="separate"/>
            </w:r>
            <w:r>
              <w:rPr>
                <w:rStyle w:val="10"/>
                <w:rFonts w:hint="eastAsia" w:ascii="Times New Roman" w:hAnsi="Times New Roman" w:eastAsia="宋体" w:cs="Times New Roman"/>
                <w:kern w:val="0"/>
                <w:sz w:val="24"/>
                <w:szCs w:val="24"/>
              </w:rPr>
              <w:t>http://www.icourse163.org/course/HUSE-1207217802?tid=1207539205</w:t>
            </w:r>
          </w:p>
          <w:p>
            <w:pPr>
              <w:rPr>
                <w:rFonts w:ascii="Times New Roman" w:hAnsi="Times New Roman" w:eastAsia="宋体" w:cs="Times New Roman"/>
                <w:color w:val="auto"/>
                <w:kern w:val="0"/>
                <w:sz w:val="24"/>
                <w:szCs w:val="24"/>
              </w:rPr>
            </w:pPr>
            <w:r>
              <w:rPr>
                <w:rStyle w:val="10"/>
                <w:rFonts w:hint="eastAsia" w:ascii="Times New Roman" w:hAnsi="Times New Roman" w:eastAsia="宋体" w:cs="Times New Roman"/>
                <w:kern w:val="0"/>
                <w:sz w:val="24"/>
                <w:szCs w:val="24"/>
              </w:rPr>
              <w:t>http://www.xueyinonline.com/detail/202243370</w:t>
            </w:r>
            <w:r>
              <w:rPr>
                <w:rFonts w:hint="eastAsia" w:ascii="Times New Roman" w:hAnsi="Times New Roman" w:eastAsia="宋体" w:cs="Times New Roman"/>
                <w:color w:val="auto"/>
                <w:kern w:val="0"/>
                <w:sz w:val="24"/>
                <w:szCs w:val="24"/>
              </w:rPr>
              <w:fldChar w:fldCharType="end"/>
            </w:r>
          </w:p>
        </w:tc>
      </w:tr>
    </w:tbl>
    <w:p>
      <w:pPr>
        <w:rPr>
          <w:rFonts w:ascii="Times New Roman" w:hAnsi="Times New Roman" w:eastAsia="宋体" w:cs="Times New Roman"/>
          <w:sz w:val="24"/>
          <w:szCs w:val="24"/>
        </w:rPr>
      </w:pPr>
    </w:p>
    <w:p>
      <w:pPr>
        <w:rPr>
          <w:rFonts w:ascii="Times New Roman" w:hAnsi="Times New Roman" w:eastAsia="黑体" w:cs="Times New Roman"/>
          <w:sz w:val="24"/>
        </w:rPr>
      </w:pPr>
      <w:r>
        <w:rPr>
          <w:rFonts w:ascii="Times New Roman" w:hAnsi="Times New Roman" w:eastAsia="黑体" w:cs="Times New Roman"/>
          <w:sz w:val="24"/>
        </w:rPr>
        <w:t>若因同一门课程课时较长，分段在线开设，请填写下表：</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434"/>
        <w:gridCol w:w="1107"/>
        <w:gridCol w:w="1659"/>
        <w:gridCol w:w="1327"/>
        <w:gridCol w:w="15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序号</w:t>
            </w:r>
          </w:p>
        </w:tc>
        <w:tc>
          <w:tcPr>
            <w:tcW w:w="243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课程名称</w:t>
            </w:r>
          </w:p>
        </w:tc>
        <w:tc>
          <w:tcPr>
            <w:tcW w:w="110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负责人</w:t>
            </w:r>
          </w:p>
        </w:tc>
        <w:tc>
          <w:tcPr>
            <w:tcW w:w="16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负责人单位</w:t>
            </w:r>
          </w:p>
        </w:tc>
        <w:tc>
          <w:tcPr>
            <w:tcW w:w="132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课时/周</w:t>
            </w: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1</w:t>
            </w:r>
          </w:p>
        </w:tc>
        <w:tc>
          <w:tcPr>
            <w:tcW w:w="243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rPr>
                <w:rFonts w:ascii="Times New Roman" w:hAnsi="Times New Roman" w:eastAsia="宋体" w:cs="Times New Roman"/>
                <w:color w:val="auto"/>
                <w:kern w:val="0"/>
                <w:sz w:val="24"/>
                <w:szCs w:val="24"/>
              </w:rPr>
            </w:pPr>
          </w:p>
        </w:tc>
        <w:tc>
          <w:tcPr>
            <w:tcW w:w="110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6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32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2</w:t>
            </w:r>
          </w:p>
        </w:tc>
        <w:tc>
          <w:tcPr>
            <w:tcW w:w="243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rPr>
                <w:rFonts w:ascii="Times New Roman" w:hAnsi="Times New Roman" w:eastAsia="宋体" w:cs="Times New Roman"/>
                <w:color w:val="auto"/>
                <w:kern w:val="0"/>
                <w:sz w:val="24"/>
                <w:szCs w:val="24"/>
              </w:rPr>
            </w:pPr>
          </w:p>
        </w:tc>
        <w:tc>
          <w:tcPr>
            <w:tcW w:w="110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6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32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3</w:t>
            </w:r>
          </w:p>
        </w:tc>
        <w:tc>
          <w:tcPr>
            <w:tcW w:w="243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rPr>
                <w:rFonts w:ascii="Times New Roman" w:hAnsi="Times New Roman" w:eastAsia="宋体" w:cs="Times New Roman"/>
                <w:color w:val="auto"/>
                <w:kern w:val="0"/>
                <w:sz w:val="24"/>
                <w:szCs w:val="24"/>
              </w:rPr>
            </w:pPr>
          </w:p>
        </w:tc>
        <w:tc>
          <w:tcPr>
            <w:tcW w:w="110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6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32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4</w:t>
            </w:r>
          </w:p>
        </w:tc>
        <w:tc>
          <w:tcPr>
            <w:tcW w:w="243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rPr>
                <w:rFonts w:ascii="Times New Roman" w:hAnsi="Times New Roman" w:eastAsia="宋体" w:cs="Times New Roman"/>
                <w:color w:val="auto"/>
                <w:kern w:val="0"/>
                <w:sz w:val="24"/>
                <w:szCs w:val="24"/>
              </w:rPr>
            </w:pPr>
          </w:p>
        </w:tc>
        <w:tc>
          <w:tcPr>
            <w:tcW w:w="110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6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32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r>
    </w:tbl>
    <w:p>
      <w:pPr>
        <w:rPr>
          <w:rFonts w:ascii="Times New Roman" w:hAnsi="Times New Roman" w:eastAsia="黑体" w:cs="Times New Roman"/>
          <w:sz w:val="28"/>
          <w:szCs w:val="28"/>
        </w:rPr>
      </w:pPr>
      <w:r>
        <w:rPr>
          <w:rFonts w:ascii="Times New Roman" w:hAnsi="Times New Roman" w:eastAsia="黑体" w:cs="Times New Roman"/>
          <w:b/>
          <w:sz w:val="28"/>
        </w:rPr>
        <w:t>2.</w:t>
      </w:r>
      <w:r>
        <w:rPr>
          <w:rFonts w:ascii="Times New Roman" w:hAnsi="Times New Roman" w:eastAsia="黑体" w:cs="Times New Roman"/>
          <w:sz w:val="28"/>
          <w:szCs w:val="28"/>
        </w:rPr>
        <w:t>课程团队情况</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8"/>
        <w:gridCol w:w="1263"/>
        <w:gridCol w:w="1797"/>
        <w:gridCol w:w="1275"/>
        <w:gridCol w:w="1558"/>
        <w:gridCol w:w="24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 w:hRule="atLeast"/>
          <w:jc w:val="center"/>
        </w:trPr>
        <w:tc>
          <w:tcPr>
            <w:tcW w:w="90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序号</w:t>
            </w:r>
          </w:p>
        </w:tc>
        <w:tc>
          <w:tcPr>
            <w:tcW w:w="126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姓名</w:t>
            </w:r>
          </w:p>
        </w:tc>
        <w:tc>
          <w:tcPr>
            <w:tcW w:w="179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单位</w:t>
            </w: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职务</w:t>
            </w:r>
          </w:p>
        </w:tc>
        <w:tc>
          <w:tcPr>
            <w:tcW w:w="155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职称</w:t>
            </w:r>
          </w:p>
        </w:tc>
        <w:tc>
          <w:tcPr>
            <w:tcW w:w="24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承担任务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 w:hRule="atLeast"/>
          <w:jc w:val="center"/>
        </w:trPr>
        <w:tc>
          <w:tcPr>
            <w:tcW w:w="90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1</w:t>
            </w:r>
          </w:p>
        </w:tc>
        <w:tc>
          <w:tcPr>
            <w:tcW w:w="126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蒋亚军</w:t>
            </w:r>
          </w:p>
        </w:tc>
        <w:tc>
          <w:tcPr>
            <w:tcW w:w="179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湖南科技学院</w:t>
            </w: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教师</w:t>
            </w:r>
          </w:p>
        </w:tc>
        <w:tc>
          <w:tcPr>
            <w:tcW w:w="155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教授</w:t>
            </w:r>
          </w:p>
        </w:tc>
        <w:tc>
          <w:tcPr>
            <w:tcW w:w="24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网站建设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 w:hRule="atLeast"/>
          <w:jc w:val="center"/>
        </w:trPr>
        <w:tc>
          <w:tcPr>
            <w:tcW w:w="90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2</w:t>
            </w:r>
          </w:p>
        </w:tc>
        <w:tc>
          <w:tcPr>
            <w:tcW w:w="126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曾  荣</w:t>
            </w:r>
          </w:p>
        </w:tc>
        <w:tc>
          <w:tcPr>
            <w:tcW w:w="179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湖南科技学院</w:t>
            </w: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教师</w:t>
            </w:r>
          </w:p>
        </w:tc>
        <w:tc>
          <w:tcPr>
            <w:tcW w:w="155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讲师</w:t>
            </w:r>
          </w:p>
        </w:tc>
        <w:tc>
          <w:tcPr>
            <w:tcW w:w="24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实践教学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 w:hRule="atLeast"/>
          <w:jc w:val="center"/>
        </w:trPr>
        <w:tc>
          <w:tcPr>
            <w:tcW w:w="90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3</w:t>
            </w:r>
          </w:p>
        </w:tc>
        <w:tc>
          <w:tcPr>
            <w:tcW w:w="126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周平尚</w:t>
            </w:r>
          </w:p>
        </w:tc>
        <w:tc>
          <w:tcPr>
            <w:tcW w:w="179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湖南科技学院</w:t>
            </w: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教师</w:t>
            </w:r>
          </w:p>
        </w:tc>
        <w:tc>
          <w:tcPr>
            <w:tcW w:w="155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讲师</w:t>
            </w:r>
          </w:p>
        </w:tc>
        <w:tc>
          <w:tcPr>
            <w:tcW w:w="24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视频制作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 w:hRule="atLeast"/>
          <w:jc w:val="center"/>
        </w:trPr>
        <w:tc>
          <w:tcPr>
            <w:tcW w:w="90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4</w:t>
            </w:r>
          </w:p>
        </w:tc>
        <w:tc>
          <w:tcPr>
            <w:tcW w:w="126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安福杰</w:t>
            </w:r>
          </w:p>
        </w:tc>
        <w:tc>
          <w:tcPr>
            <w:tcW w:w="179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湖南科技学院</w:t>
            </w: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教师</w:t>
            </w:r>
          </w:p>
        </w:tc>
        <w:tc>
          <w:tcPr>
            <w:tcW w:w="155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副教授</w:t>
            </w:r>
          </w:p>
        </w:tc>
        <w:tc>
          <w:tcPr>
            <w:tcW w:w="24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hint="eastAsia" w:asciiTheme="minorEastAsia" w:hAnsiTheme="minorEastAsia" w:eastAsiaTheme="minorEastAsia" w:cstheme="minorBidi"/>
                <w:color w:val="000000" w:themeColor="text1"/>
                <w:kern w:val="0"/>
                <w:sz w:val="24"/>
                <w:szCs w:val="22"/>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4"/>
                <w14:textFill>
                  <w14:solidFill>
                    <w14:schemeClr w14:val="tx1"/>
                  </w14:solidFill>
                </w14:textFill>
              </w:rPr>
              <w:t>网站技术支持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 w:hRule="atLeast"/>
          <w:jc w:val="center"/>
        </w:trPr>
        <w:tc>
          <w:tcPr>
            <w:tcW w:w="90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5</w:t>
            </w:r>
          </w:p>
        </w:tc>
        <w:tc>
          <w:tcPr>
            <w:tcW w:w="126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4"/>
              </w:rPr>
            </w:pPr>
          </w:p>
        </w:tc>
        <w:tc>
          <w:tcPr>
            <w:tcW w:w="179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4"/>
              </w:rPr>
            </w:pPr>
          </w:p>
        </w:tc>
        <w:tc>
          <w:tcPr>
            <w:tcW w:w="127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4"/>
              </w:rPr>
            </w:pPr>
          </w:p>
        </w:tc>
        <w:tc>
          <w:tcPr>
            <w:tcW w:w="155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4"/>
              </w:rPr>
            </w:pPr>
          </w:p>
        </w:tc>
        <w:tc>
          <w:tcPr>
            <w:tcW w:w="240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4"/>
              </w:rPr>
            </w:pPr>
          </w:p>
        </w:tc>
      </w:tr>
    </w:tbl>
    <w:p>
      <w:pPr>
        <w:tabs>
          <w:tab w:val="left" w:pos="2219"/>
        </w:tabs>
        <w:suppressAutoHyphens/>
        <w:spacing w:line="480" w:lineRule="auto"/>
        <w:ind w:right="-692"/>
        <w:rPr>
          <w:rFonts w:ascii="Times New Roman" w:hAnsi="Times New Roman" w:eastAsia="等线" w:cs="Times New Roman"/>
        </w:rPr>
      </w:pPr>
      <w:r>
        <w:rPr>
          <w:rFonts w:ascii="Times New Roman" w:hAnsi="Times New Roman" w:eastAsia="等线" w:cs="Times New Roman"/>
        </w:rPr>
        <w:t>*序号1为课程负责人，课程负责人及团队其他主要成员总人数不超过5人。</w:t>
      </w:r>
    </w:p>
    <w:p>
      <w:pPr>
        <w:tabs>
          <w:tab w:val="left" w:pos="2219"/>
        </w:tabs>
        <w:suppressAutoHyphens/>
        <w:spacing w:line="480" w:lineRule="auto"/>
        <w:ind w:right="-692"/>
        <w:rPr>
          <w:rFonts w:hint="eastAsia" w:ascii="Times New Roman" w:hAnsi="Times New Roman" w:eastAsia="等线" w:cs="Times New Roman"/>
        </w:rPr>
      </w:pPr>
    </w:p>
    <w:p>
      <w:pPr>
        <w:tabs>
          <w:tab w:val="left" w:pos="2219"/>
        </w:tabs>
        <w:suppressAutoHyphens/>
        <w:spacing w:line="480" w:lineRule="auto"/>
        <w:ind w:right="-692"/>
        <w:rPr>
          <w:rFonts w:ascii="Times New Roman" w:hAnsi="Times New Roman" w:eastAsia="等线" w:cs="Times New Roman"/>
        </w:rPr>
      </w:pP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8" w:hRule="atLeast"/>
          <w:jc w:val="center"/>
        </w:trPr>
        <w:tc>
          <w:tcPr>
            <w:tcW w:w="92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4"/>
              </w:rPr>
            </w:pPr>
            <w:r>
              <w:rPr>
                <w:rFonts w:ascii="Times New Roman" w:hAnsi="Times New Roman" w:cs="Times New Roman"/>
                <w:color w:val="auto"/>
                <w:kern w:val="0"/>
                <w:sz w:val="24"/>
                <w:szCs w:val="20"/>
              </w:rPr>
              <w:t>课程负责人教学情况（不超过500字）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025" w:hRule="atLeast"/>
          <w:jc w:val="center"/>
        </w:trPr>
        <w:tc>
          <w:tcPr>
            <w:tcW w:w="92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4"/>
              </w:rPr>
            </w:pPr>
            <w:r>
              <w:rPr>
                <w:rFonts w:ascii="Times New Roman" w:hAnsi="Times New Roman" w:cs="Times New Roman"/>
                <w:color w:val="auto"/>
                <w:kern w:val="0"/>
                <w:sz w:val="24"/>
                <w:szCs w:val="20"/>
              </w:rPr>
              <w:t>（在承担学校教学任务、开展教学研究、近5年来获得教学奖励方面的情况等）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①高质量完成授课任务，</w:t>
            </w:r>
            <w:r>
              <w:rPr>
                <w:rFonts w:hint="eastAsia" w:ascii="仿宋" w:hAnsi="仿宋" w:eastAsia="仿宋" w:cs="仿宋"/>
                <w:color w:val="000000" w:themeColor="text1"/>
                <w:sz w:val="24"/>
                <w:szCs w:val="24"/>
                <w:lang w:eastAsia="zh-CN"/>
                <w14:textFill>
                  <w14:solidFill>
                    <w14:schemeClr w14:val="tx1"/>
                  </w14:solidFill>
                </w14:textFill>
              </w:rPr>
              <w:t>是</w:t>
            </w:r>
            <w:r>
              <w:rPr>
                <w:rFonts w:hint="eastAsia" w:ascii="仿宋" w:hAnsi="仿宋" w:eastAsia="仿宋" w:cs="仿宋"/>
                <w:color w:val="000000" w:themeColor="text1"/>
                <w:sz w:val="24"/>
                <w:szCs w:val="24"/>
                <w:lang w:val="en-US" w:eastAsia="zh-CN"/>
                <w14:textFill>
                  <w14:solidFill>
                    <w14:schemeClr w14:val="tx1"/>
                  </w14:solidFill>
                </w14:textFill>
              </w:rPr>
              <w:t>2014年</w:t>
            </w:r>
            <w:r>
              <w:rPr>
                <w:rFonts w:hint="eastAsia" w:ascii="仿宋" w:hAnsi="仿宋" w:eastAsia="仿宋" w:cs="仿宋"/>
                <w:color w:val="000000" w:themeColor="text1"/>
                <w:sz w:val="24"/>
                <w:szCs w:val="24"/>
                <w:lang w:eastAsia="zh-CN"/>
                <w14:textFill>
                  <w14:solidFill>
                    <w14:schemeClr w14:val="tx1"/>
                  </w14:solidFill>
                </w14:textFill>
              </w:rPr>
              <w:t>国家旅游局旅游英才计划培养对象，</w:t>
            </w:r>
            <w:r>
              <w:rPr>
                <w:rFonts w:hint="eastAsia" w:ascii="仿宋" w:hAnsi="仿宋" w:eastAsia="仿宋" w:cs="仿宋"/>
                <w:color w:val="000000" w:themeColor="text1"/>
                <w:sz w:val="24"/>
                <w:szCs w:val="24"/>
                <w14:textFill>
                  <w14:solidFill>
                    <w14:schemeClr w14:val="tx1"/>
                  </w14:solidFill>
                </w14:textFill>
              </w:rPr>
              <w:t>主授《导游实务》、《前厅管理》等课程，每年指导学生毕业论文10余人次，教学工作量饱满，每年评教均为优秀。②在教学管理双肩挑岗位上不断探索校企合作人才培养模式，2016年分获省级和校级教学成果一等奖（排名第二）各1次。③耐心细致地行使高校教师的育人职责，曾是校级青年教学能手，2016-2017年获校级优秀毕业论文指导老师2次、校级创新创业大赛优秀指导老师1次，2014-2016年</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2018年</w:t>
            </w:r>
            <w:r>
              <w:rPr>
                <w:rFonts w:hint="eastAsia" w:ascii="仿宋" w:hAnsi="仿宋" w:eastAsia="仿宋" w:cs="仿宋"/>
                <w:color w:val="000000" w:themeColor="text1"/>
                <w:sz w:val="24"/>
                <w:szCs w:val="24"/>
                <w14:textFill>
                  <w14:solidFill>
                    <w14:schemeClr w14:val="tx1"/>
                  </w14:solidFill>
                </w14:textFill>
              </w:rPr>
              <w:t>指导学生参加省学科竞赛获一</w:t>
            </w:r>
            <w:r>
              <w:rPr>
                <w:rFonts w:hint="eastAsia" w:ascii="仿宋" w:hAnsi="仿宋" w:eastAsia="仿宋" w:cs="仿宋"/>
                <w:color w:val="000000" w:themeColor="text1"/>
                <w:sz w:val="24"/>
                <w:szCs w:val="24"/>
                <w:lang w:val="en-US" w:eastAsia="zh-CN"/>
                <w14:textFill>
                  <w14:solidFill>
                    <w14:schemeClr w14:val="tx1"/>
                  </w14:solidFill>
                </w14:textFill>
              </w:rPr>
              <w:t>等奖2次,</w:t>
            </w:r>
            <w:r>
              <w:rPr>
                <w:rFonts w:hint="eastAsia" w:ascii="仿宋" w:hAnsi="仿宋" w:eastAsia="仿宋" w:cs="仿宋"/>
                <w:color w:val="000000" w:themeColor="text1"/>
                <w:sz w:val="24"/>
                <w:szCs w:val="24"/>
                <w14:textFill>
                  <w14:solidFill>
                    <w14:schemeClr w14:val="tx1"/>
                  </w14:solidFill>
                </w14:textFill>
              </w:rPr>
              <w:t>二、三等奖各1次、最佳才艺奖1次、优秀组织奖1次，校级创新创业大赛优秀奖1次。④积极投身教研教改活动，近年来发表教改论文3篇，主持省教改项目1个，省教育科学“十二五”规划课题1个。⑤具有承担教学质量工程项目的经验，2013年主持校级青年教改课程《导游实务》和校级精品课程《前厅管理》，是省“十三五”综合改革试点专业（旅游管理）建设的主要参与人。⑥积极服务社会，负责人已考取导游证，是湖南省导游证考试考官，省旅游学会旅游专业委员会副秘书长，担任过国家旅游局旅游服务质量社会监督员，是永州市等级景区评定检查员等。综上，课程负责人从教20年，经验丰富，多年来坚持理论联系实际，能整合校内外资源，已具备将本门课程建设成省级精品的素质和能力。</w:t>
            </w: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4"/>
              </w:rPr>
            </w:pPr>
          </w:p>
        </w:tc>
      </w:tr>
    </w:tbl>
    <w:p>
      <w:pPr>
        <w:rPr>
          <w:rFonts w:ascii="Times New Roman" w:hAnsi="Times New Roman" w:eastAsia="宋体" w:cs="Times New Roman"/>
          <w:sz w:val="32"/>
          <w:szCs w:val="32"/>
        </w:rPr>
      </w:pPr>
      <w:r>
        <w:rPr>
          <w:rFonts w:ascii="Times New Roman" w:hAnsi="Times New Roman" w:eastAsia="黑体" w:cs="Times New Roman"/>
          <w:b/>
          <w:sz w:val="28"/>
        </w:rPr>
        <w:t>3.</w:t>
      </w:r>
      <w:r>
        <w:rPr>
          <w:rFonts w:ascii="Times New Roman" w:hAnsi="Times New Roman" w:eastAsia="黑体" w:cs="Times New Roman"/>
          <w:sz w:val="32"/>
          <w:szCs w:val="32"/>
        </w:rPr>
        <w:t>课程特色（</w:t>
      </w:r>
      <w:r>
        <w:rPr>
          <w:rFonts w:ascii="Times New Roman" w:hAnsi="Times New Roman" w:eastAsia="仿宋_GB2312" w:cs="Times New Roman"/>
          <w:sz w:val="32"/>
          <w:szCs w:val="32"/>
        </w:rPr>
        <w:t>不超过800字）</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3078" w:hRule="atLeast"/>
          <w:jc w:val="center"/>
        </w:trPr>
        <w:tc>
          <w:tcPr>
            <w:tcW w:w="92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ascii="Times New Roman" w:hAnsi="Times New Roman" w:cs="Times New Roman"/>
                <w:color w:val="auto"/>
                <w:kern w:val="0"/>
                <w:sz w:val="24"/>
                <w:szCs w:val="20"/>
              </w:rPr>
              <w:t>（本课程运用信息技术在课程体系、教学内容和教学方法等方面的改革情况）</w:t>
            </w:r>
          </w:p>
          <w:p>
            <w:pPr>
              <w:keepNext/>
              <w:keepLines/>
              <w:pageBreakBefore w:val="0"/>
              <w:widowControl w:val="0"/>
              <w:kinsoku/>
              <w:wordWrap/>
              <w:overflowPunct/>
              <w:topLinePunct w:val="0"/>
              <w:autoSpaceDE/>
              <w:autoSpaceDN/>
              <w:bidi w:val="0"/>
              <w:adjustRightInd/>
              <w:snapToGrid w:val="0"/>
              <w:spacing w:line="540" w:lineRule="exact"/>
              <w:ind w:firstLine="480" w:firstLineChars="200"/>
              <w:textAlignment w:val="auto"/>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导游实务》课程自2003年开设以来，课程教学团队始终保持与学界和业界精英的紧密联系，逐渐形成了“思政养成教育与日常教学渗透、任务驱动与创新设计融合、研讨教学与工学结合并重、过程评价与终结考试兼顾”的一个具有较长延伸知识链的“线上+线下”混合式、开放式教学资源共享平台。</w:t>
            </w:r>
          </w:p>
          <w:p>
            <w:pPr>
              <w:keepNext/>
              <w:keepLines/>
              <w:pageBreakBefore w:val="0"/>
              <w:widowControl w:val="0"/>
              <w:kinsoku/>
              <w:wordWrap/>
              <w:overflowPunct/>
              <w:topLinePunct w:val="0"/>
              <w:autoSpaceDE/>
              <w:autoSpaceDN/>
              <w:bidi w:val="0"/>
              <w:adjustRightInd/>
              <w:snapToGrid w:val="0"/>
              <w:spacing w:line="540" w:lineRule="exact"/>
              <w:ind w:firstLine="480" w:firstLineChars="200"/>
              <w:textAlignment w:val="auto"/>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思政养成教育与日常教学渗透：新时代导游的职业道德和行为规范，重在实践，贵在养成。把社会主义核心价值观教育融入本课程教育教学活动中，通过教师的教学内容、教育行为和教育态度走进课堂，培养学生爱国、诚信、敬业、和谐等优秀的品质，与时俱进地培养国家和社会需要的导游员。</w:t>
            </w:r>
          </w:p>
          <w:p>
            <w:pPr>
              <w:keepNext/>
              <w:keepLines/>
              <w:pageBreakBefore w:val="0"/>
              <w:widowControl w:val="0"/>
              <w:kinsoku/>
              <w:wordWrap/>
              <w:overflowPunct/>
              <w:topLinePunct w:val="0"/>
              <w:autoSpaceDE/>
              <w:autoSpaceDN/>
              <w:bidi w:val="0"/>
              <w:adjustRightInd/>
              <w:snapToGrid w:val="0"/>
              <w:spacing w:line="540" w:lineRule="exact"/>
              <w:ind w:firstLine="480" w:firstLineChars="200"/>
              <w:textAlignment w:val="auto"/>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任务驱动与创新设计融合：根据导游服务规程，强调课程体系建设及课程内容、教学方法与手段改革，融“教、学、做”为一体，通过布置任务，学生以小组为单元设计活动内容，并将其外化展示，提高学生的学习兴趣，调动学习积极性。如以永州一日游和两日游为主要活动内容，以导游工作集体的接团、讲解、联络等一整套导游服务规程为学习任务，要求学生自行设计旅游活动线路，写作导游辞，并展示在网站上，着重培养学生作为导游的发现美、创造美、传递美的素质和能力。</w:t>
            </w:r>
          </w:p>
          <w:p>
            <w:pPr>
              <w:keepNext/>
              <w:keepLines/>
              <w:pageBreakBefore w:val="0"/>
              <w:widowControl w:val="0"/>
              <w:kinsoku/>
              <w:wordWrap/>
              <w:overflowPunct/>
              <w:topLinePunct w:val="0"/>
              <w:autoSpaceDE/>
              <w:autoSpaceDN/>
              <w:bidi w:val="0"/>
              <w:adjustRightInd/>
              <w:snapToGrid w:val="0"/>
              <w:spacing w:line="540" w:lineRule="exact"/>
              <w:ind w:firstLine="480" w:firstLineChars="200"/>
              <w:textAlignment w:val="auto"/>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研讨教学与工学结合并重：教师时刻关注旅游业动态，将最新的资讯如游客投诉、事故处理、导游管理办法的改革、导游社会化的路径等前沿问题发布到网站上与学生共同探讨，以提高学生的研究能力。邀请地方旅游业界人士参与课程的教学过程中来，可在网站上发布旅游从业要约、请求导游相关服务支持需求，网站有望成为地方导游供需平台，在真正意义上实现工学结合。</w:t>
            </w:r>
          </w:p>
          <w:p>
            <w:pPr>
              <w:pageBreakBefore w:val="0"/>
              <w:widowControl w:val="0"/>
              <w:kinsoku/>
              <w:wordWrap/>
              <w:overflowPunct/>
              <w:topLinePunct w:val="0"/>
              <w:autoSpaceDE/>
              <w:autoSpaceDN/>
              <w:bidi w:val="0"/>
              <w:adjustRightInd/>
              <w:snapToGrid w:val="0"/>
              <w:spacing w:line="540" w:lineRule="exact"/>
              <w:ind w:firstLine="480"/>
              <w:textAlignment w:val="auto"/>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过程评价与终结考试兼顾：建立多元化学习评价体式，利用大数据全程记录学生学习过程、内容、反馈，采取过程评价与终结评价相结合的考核考试模式，促进学生的自主性、过程性和体验式学习。</w:t>
            </w:r>
          </w:p>
          <w:p>
            <w:pPr>
              <w:pageBreakBefore w:val="0"/>
              <w:widowControl w:val="0"/>
              <w:kinsoku/>
              <w:wordWrap/>
              <w:overflowPunct/>
              <w:topLinePunct w:val="0"/>
              <w:autoSpaceDE/>
              <w:autoSpaceDN/>
              <w:bidi w:val="0"/>
              <w:adjustRightInd/>
              <w:snapToGrid w:val="0"/>
              <w:spacing w:line="540" w:lineRule="exact"/>
              <w:ind w:firstLine="480"/>
              <w:textAlignment w:val="auto"/>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围绕以上特色，本平台力图课程体系和教学内容上充分整合礼仪、旅游英语、导游基础、汉语言文学、旅游学概论、旅行社管理等课程知识，扩展了学生的知识体系，延伸了课程链。在教学方法不断予以创新，融入研讨式、启发式、演示法等方法，加大实践教学力度，真正实现导游技能与岗位需要的零距离对接。利用</w:t>
            </w:r>
            <w:r>
              <w:rPr>
                <w:rFonts w:hint="eastAsia" w:ascii="仿宋" w:hAnsi="仿宋" w:eastAsia="仿宋" w:cs="仿宋"/>
                <w:color w:val="000000" w:themeColor="text1"/>
                <w:sz w:val="24"/>
                <w:szCs w:val="24"/>
                <w:lang w:val="en-US" w:eastAsia="zh-CN"/>
                <w14:textFill>
                  <w14:solidFill>
                    <w14:schemeClr w14:val="tx1"/>
                  </w14:solidFill>
                </w14:textFill>
              </w:rPr>
              <w:t>中国大学慕课</w:t>
            </w:r>
            <w:r>
              <w:rPr>
                <w:rFonts w:hint="eastAsia" w:ascii="仿宋" w:hAnsi="仿宋" w:eastAsia="仿宋" w:cs="仿宋"/>
                <w:color w:val="000000" w:themeColor="text1"/>
                <w:sz w:val="24"/>
                <w:szCs w:val="24"/>
                <w14:textFill>
                  <w14:solidFill>
                    <w14:schemeClr w14:val="tx1"/>
                  </w14:solidFill>
                </w14:textFill>
              </w:rPr>
              <w:t>插件等技术支撑，在课程设计、教学安排和呈现方式上符合学习者移动学习和混合式教学的需求。开展在线学习与课堂教学、翻转课堂相结合。通过在线测试、网上答疑、线上线下讨论、作业批改、现场解惑等方式进行资源共享和协作学习。本平台在受众面向上不仅仅服务于本校学生，还包括了旅游从业人员和需要考取导游证等社会人员，本平台的开放具有一定的价值。</w:t>
            </w:r>
          </w:p>
          <w:p>
            <w:pPr>
              <w:rPr>
                <w:rFonts w:ascii="Times New Roman" w:hAnsi="Times New Roman" w:cs="Times New Roman"/>
                <w:color w:val="auto"/>
                <w:kern w:val="0"/>
                <w:sz w:val="24"/>
                <w:szCs w:val="20"/>
              </w:rPr>
            </w:pPr>
          </w:p>
          <w:p>
            <w:pPr>
              <w:rPr>
                <w:rFonts w:ascii="Times New Roman" w:hAnsi="Times New Roman" w:eastAsia="宋体" w:cs="Times New Roman"/>
                <w:color w:val="auto"/>
                <w:kern w:val="0"/>
                <w:sz w:val="24"/>
                <w:szCs w:val="24"/>
              </w:rPr>
            </w:pPr>
          </w:p>
        </w:tc>
      </w:tr>
    </w:tbl>
    <w:p>
      <w:pPr>
        <w:rPr>
          <w:rFonts w:ascii="Times New Roman" w:hAnsi="Times New Roman" w:eastAsia="黑体" w:cs="Times New Roman"/>
          <w:b/>
          <w:sz w:val="28"/>
        </w:rPr>
      </w:pPr>
    </w:p>
    <w:p>
      <w:pPr>
        <w:rPr>
          <w:rFonts w:ascii="Times New Roman" w:hAnsi="Times New Roman" w:eastAsia="仿宋_GB2312" w:cs="Times New Roman"/>
          <w:sz w:val="32"/>
          <w:szCs w:val="32"/>
        </w:rPr>
      </w:pPr>
      <w:r>
        <w:rPr>
          <w:rFonts w:ascii="Times New Roman" w:hAnsi="Times New Roman" w:eastAsia="黑体" w:cs="Times New Roman"/>
          <w:b/>
          <w:sz w:val="28"/>
        </w:rPr>
        <w:t>4.</w:t>
      </w:r>
      <w:r>
        <w:rPr>
          <w:rFonts w:ascii="Times New Roman" w:hAnsi="Times New Roman" w:eastAsia="黑体" w:cs="Times New Roman"/>
          <w:sz w:val="32"/>
          <w:szCs w:val="32"/>
        </w:rPr>
        <w:t>课程应用情况</w:t>
      </w:r>
      <w:r>
        <w:rPr>
          <w:rFonts w:ascii="Times New Roman" w:hAnsi="Times New Roman" w:eastAsia="仿宋_GB2312" w:cs="Times New Roman"/>
          <w:sz w:val="32"/>
          <w:szCs w:val="32"/>
        </w:rPr>
        <w:t>（不超过800字）</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28" w:hRule="atLeast"/>
          <w:jc w:val="center"/>
        </w:trPr>
        <w:tc>
          <w:tcPr>
            <w:tcW w:w="92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4"/>
              </w:rPr>
            </w:pPr>
            <w:r>
              <w:rPr>
                <w:rFonts w:ascii="Times New Roman" w:hAnsi="Times New Roman" w:cs="Times New Roman"/>
                <w:color w:val="auto"/>
                <w:kern w:val="0"/>
                <w:sz w:val="24"/>
                <w:szCs w:val="20"/>
              </w:rPr>
              <w:t>（本校、其他高校以及社会学习者应用情况及效果）</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lang w:val="en-US" w:eastAsia="zh-CN"/>
                <w14:textFill>
                  <w14:solidFill>
                    <w14:schemeClr w14:val="tx1"/>
                  </w14:solidFill>
                </w14:textFill>
              </w:rPr>
              <w:t>课程</w:t>
            </w:r>
            <w:r>
              <w:rPr>
                <w:rFonts w:hint="eastAsia" w:ascii="仿宋" w:hAnsi="仿宋" w:eastAsia="仿宋"/>
                <w:color w:val="000000" w:themeColor="text1"/>
                <w:sz w:val="24"/>
                <w:szCs w:val="24"/>
                <w14:textFill>
                  <w14:solidFill>
                    <w14:schemeClr w14:val="tx1"/>
                  </w14:solidFill>
                </w14:textFill>
              </w:rPr>
              <w:t>基本教学资源包括：教学设计、大纲、教案、课件、题库</w:t>
            </w:r>
            <w:r>
              <w:rPr>
                <w:rFonts w:hint="eastAsia" w:ascii="仿宋" w:hAnsi="仿宋" w:eastAsia="仿宋"/>
                <w:color w:val="000000" w:themeColor="text1"/>
                <w:sz w:val="24"/>
                <w:szCs w:val="24"/>
                <w:lang w:eastAsia="zh-CN"/>
                <w14:textFill>
                  <w14:solidFill>
                    <w14:schemeClr w14:val="tx1"/>
                  </w14:solidFill>
                </w14:textFill>
              </w:rPr>
              <w:t>（</w:t>
            </w:r>
            <w:r>
              <w:rPr>
                <w:rFonts w:hint="eastAsia" w:ascii="仿宋" w:hAnsi="仿宋" w:eastAsia="仿宋"/>
                <w:color w:val="000000" w:themeColor="text1"/>
                <w:sz w:val="24"/>
                <w:szCs w:val="24"/>
                <w:lang w:val="en-US" w:eastAsia="zh-CN"/>
                <w14:textFill>
                  <w14:solidFill>
                    <w14:schemeClr w14:val="tx1"/>
                  </w14:solidFill>
                </w14:textFill>
              </w:rPr>
              <w:t>含</w:t>
            </w:r>
            <w:r>
              <w:rPr>
                <w:rFonts w:hint="eastAsia" w:ascii="仿宋" w:hAnsi="仿宋" w:eastAsia="仿宋"/>
                <w:color w:val="000000" w:themeColor="text1"/>
                <w:sz w:val="24"/>
                <w:szCs w:val="24"/>
                <w14:textFill>
                  <w14:solidFill>
                    <w14:schemeClr w14:val="tx1"/>
                  </w14:solidFill>
                </w14:textFill>
              </w:rPr>
              <w:t>考证</w:t>
            </w:r>
            <w:r>
              <w:rPr>
                <w:rFonts w:hint="eastAsia" w:ascii="仿宋" w:hAnsi="仿宋" w:eastAsia="仿宋"/>
                <w:color w:val="000000" w:themeColor="text1"/>
                <w:sz w:val="24"/>
                <w:szCs w:val="24"/>
                <w:lang w:eastAsia="zh-CN"/>
                <w14:textFill>
                  <w14:solidFill>
                    <w14:schemeClr w14:val="tx1"/>
                  </w14:solidFill>
                </w14:textFill>
              </w:rPr>
              <w:t>）</w:t>
            </w:r>
            <w:r>
              <w:rPr>
                <w:rFonts w:hint="eastAsia" w:ascii="仿宋" w:hAnsi="仿宋" w:eastAsia="仿宋"/>
                <w:color w:val="000000" w:themeColor="text1"/>
                <w:sz w:val="24"/>
                <w:szCs w:val="24"/>
                <w14:textFill>
                  <w14:solidFill>
                    <w14:schemeClr w14:val="tx1"/>
                  </w14:solidFill>
                </w14:textFill>
              </w:rPr>
              <w:t>、教学互动等多个资源以及</w:t>
            </w:r>
            <w:r>
              <w:rPr>
                <w:rFonts w:hint="eastAsia" w:ascii="仿宋" w:hAnsi="仿宋" w:eastAsia="仿宋"/>
                <w:color w:val="000000" w:themeColor="text1"/>
                <w:sz w:val="24"/>
                <w:szCs w:val="24"/>
                <w:lang w:val="en-US" w:eastAsia="zh-CN"/>
                <w14:textFill>
                  <w14:solidFill>
                    <w14:schemeClr w14:val="tx1"/>
                  </w14:solidFill>
                </w14:textFill>
              </w:rPr>
              <w:t>26个教学</w:t>
            </w:r>
            <w:r>
              <w:rPr>
                <w:rFonts w:hint="eastAsia" w:ascii="仿宋" w:hAnsi="仿宋" w:eastAsia="仿宋"/>
                <w:color w:val="000000" w:themeColor="text1"/>
                <w:sz w:val="24"/>
                <w:szCs w:val="24"/>
                <w14:textFill>
                  <w14:solidFill>
                    <w14:schemeClr w14:val="tx1"/>
                  </w14:solidFill>
                </w14:textFill>
              </w:rPr>
              <w:t>视频，实现虚拟课堂学习、网络教学。本课程在</w:t>
            </w:r>
            <w:r>
              <w:rPr>
                <w:rFonts w:hint="eastAsia" w:ascii="仿宋" w:hAnsi="仿宋" w:eastAsia="仿宋"/>
                <w:color w:val="000000" w:themeColor="text1"/>
                <w:sz w:val="24"/>
                <w:szCs w:val="24"/>
                <w:lang w:val="en-US" w:eastAsia="zh-CN"/>
                <w14:textFill>
                  <w14:solidFill>
                    <w14:schemeClr w14:val="tx1"/>
                  </w14:solidFill>
                </w14:textFill>
              </w:rPr>
              <w:t>超星泛雅平台和中国大学慕课平台</w:t>
            </w:r>
            <w:r>
              <w:rPr>
                <w:rFonts w:hint="eastAsia" w:ascii="仿宋" w:hAnsi="仿宋" w:eastAsia="仿宋"/>
                <w:color w:val="000000" w:themeColor="text1"/>
                <w:sz w:val="24"/>
                <w:szCs w:val="24"/>
                <w14:textFill>
                  <w14:solidFill>
                    <w14:schemeClr w14:val="tx1"/>
                  </w14:solidFill>
                </w14:textFill>
              </w:rPr>
              <w:t>上线运行以来，运行良好，受众包含有本校</w:t>
            </w:r>
            <w:r>
              <w:rPr>
                <w:rFonts w:hint="eastAsia" w:ascii="仿宋" w:hAnsi="仿宋" w:eastAsia="仿宋"/>
                <w:color w:val="000000" w:themeColor="text1"/>
                <w:sz w:val="24"/>
                <w:szCs w:val="24"/>
                <w:lang w:val="en-US" w:eastAsia="zh-CN"/>
                <w14:textFill>
                  <w14:solidFill>
                    <w14:schemeClr w14:val="tx1"/>
                  </w14:solidFill>
                </w14:textFill>
              </w:rPr>
              <w:t>2018级旅游管理专业学生和</w:t>
            </w:r>
            <w:r>
              <w:rPr>
                <w:rFonts w:hint="eastAsia" w:ascii="仿宋" w:hAnsi="仿宋" w:eastAsia="仿宋"/>
                <w:color w:val="000000" w:themeColor="text1"/>
                <w:sz w:val="24"/>
                <w:szCs w:val="24"/>
                <w14:textFill>
                  <w14:solidFill>
                    <w14:schemeClr w14:val="tx1"/>
                  </w14:solidFill>
                </w14:textFill>
              </w:rPr>
              <w:t>社会学习者，</w:t>
            </w:r>
            <w:r>
              <w:rPr>
                <w:rFonts w:hint="eastAsia" w:ascii="仿宋" w:hAnsi="仿宋" w:eastAsia="仿宋"/>
                <w:color w:val="000000" w:themeColor="text1"/>
                <w:sz w:val="24"/>
                <w:szCs w:val="24"/>
                <w:lang w:val="en-US" w:eastAsia="zh-CN"/>
                <w14:textFill>
                  <w14:solidFill>
                    <w14:schemeClr w14:val="tx1"/>
                  </w14:solidFill>
                </w14:textFill>
              </w:rPr>
              <w:t>正在向其它高校如永州职业技术学院和桂林理工大学进行推广，</w:t>
            </w:r>
            <w:r>
              <w:rPr>
                <w:rFonts w:hint="eastAsia" w:ascii="仿宋" w:hAnsi="仿宋" w:eastAsia="仿宋"/>
                <w:color w:val="000000" w:themeColor="text1"/>
                <w:sz w:val="24"/>
                <w:szCs w:val="24"/>
                <w14:textFill>
                  <w14:solidFill>
                    <w14:schemeClr w14:val="tx1"/>
                  </w14:solidFill>
                </w14:textFill>
              </w:rPr>
              <w:t>具体应用情况及效果如下：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1、在本校的应用情况及效果</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校内教学时，该门课程采用线上线下混合式教学，迄今为止有共有16届学生开设过该门课程，使用效果良好。该门课程与国内外同类课程相比较，课程在设计理念上有所创新，根据导游相关岗位从业人员所必须具备的综合职业能力要求，以培养职业竞争力为主要目标，以工作过程系统化理念为指导，以“实践-理论一体化”为实现途径，与行业企业合作共同开发与设计了学习领域课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该课程具有先进的职业教育理念，用“工作性任务、情境式学习、企业参与式管理、生产性实训、开放性考评”的理念进行课程设计，创新性提出并实施了“基于校企合作的、以职业技能培养导向的、兼顾延伸知识链的开发方法”，所采用的“支撑平台+核心课程+延伸知识链+企业参与”的课程体系结构符合我国国情，课程教学中用任务驱动式、研讨式等教学方法，实现了“虚拟实训平台”与“真实教学项目”的结合，符合学生的职业能力养成规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2、其他高校及社会学习者的应用情况及效果</w:t>
            </w:r>
          </w:p>
          <w:p>
            <w:pPr>
              <w:spacing w:line="360" w:lineRule="auto"/>
              <w:ind w:firstLine="480" w:firstLineChars="200"/>
              <w:rPr>
                <w:rFonts w:ascii="Times New Roman" w:hAnsi="Times New Roman" w:cs="Times New Roman"/>
                <w:color w:val="auto"/>
                <w:kern w:val="0"/>
                <w:sz w:val="24"/>
                <w:szCs w:val="24"/>
              </w:rPr>
            </w:pPr>
            <w:r>
              <w:rPr>
                <w:rFonts w:hint="eastAsia" w:ascii="仿宋" w:hAnsi="仿宋" w:eastAsia="仿宋"/>
                <w:color w:val="000000" w:themeColor="text1"/>
                <w:sz w:val="24"/>
                <w:szCs w:val="24"/>
                <w14:textFill>
                  <w14:solidFill>
                    <w14:schemeClr w14:val="tx1"/>
                  </w14:solidFill>
                </w14:textFill>
              </w:rPr>
              <w:t>针对其他高校和社会学习者，该门课程采用共享式、开放式的教学，</w:t>
            </w:r>
            <w:r>
              <w:rPr>
                <w:rFonts w:hint="eastAsia" w:ascii="仿宋" w:hAnsi="仿宋" w:eastAsia="仿宋"/>
                <w:color w:val="000000" w:themeColor="text1"/>
                <w:sz w:val="24"/>
                <w:szCs w:val="24"/>
                <w:lang w:val="en-US" w:eastAsia="zh-CN"/>
                <w14:textFill>
                  <w14:solidFill>
                    <w14:schemeClr w14:val="tx1"/>
                  </w14:solidFill>
                </w14:textFill>
              </w:rPr>
              <w:t>已与桂林理工大学和永州职业技术学院达到合作意向，</w:t>
            </w:r>
            <w:r>
              <w:rPr>
                <w:rFonts w:hint="eastAsia" w:ascii="仿宋" w:hAnsi="仿宋" w:eastAsia="仿宋"/>
                <w:color w:val="000000" w:themeColor="text1"/>
                <w:sz w:val="24"/>
                <w:szCs w:val="24"/>
                <w14:textFill>
                  <w14:solidFill>
                    <w14:schemeClr w14:val="tx1"/>
                  </w14:solidFill>
                </w14:textFill>
              </w:rPr>
              <w:t>通过教师团队的行业影响力，立足于永州，吸引本地旅游从业人员和需要考取导游资格证的社会学习人员，在此基础上，通过优化教学资源，丰富教学内容，不断扩大平台的影响力，力争其它地区的社会学习者参与。除了网上教学资源之外，还通过虚拟实训系统将企业案例汇聚一起，为学生提供一手讯息。引入“创新创业”理念，搭建创业平台。</w:t>
            </w:r>
          </w:p>
        </w:tc>
      </w:tr>
    </w:tbl>
    <w:p>
      <w:pPr>
        <w:rPr>
          <w:rFonts w:ascii="Times New Roman" w:hAnsi="Times New Roman" w:eastAsia="黑体" w:cs="Times New Roman"/>
          <w:sz w:val="32"/>
          <w:szCs w:val="32"/>
        </w:rPr>
      </w:pPr>
      <w:r>
        <w:rPr>
          <w:rFonts w:ascii="Times New Roman" w:hAnsi="Times New Roman" w:eastAsia="黑体" w:cs="Times New Roman"/>
          <w:b/>
          <w:sz w:val="28"/>
        </w:rPr>
        <w:t>5.</w:t>
      </w:r>
      <w:r>
        <w:rPr>
          <w:rFonts w:ascii="Times New Roman" w:hAnsi="Times New Roman" w:eastAsia="黑体" w:cs="Times New Roman"/>
          <w:sz w:val="32"/>
          <w:szCs w:val="32"/>
        </w:rPr>
        <w:t>课程建设计划（</w:t>
      </w:r>
      <w:r>
        <w:rPr>
          <w:rFonts w:ascii="Times New Roman" w:hAnsi="Times New Roman" w:eastAsia="仿宋_GB2312" w:cs="Times New Roman"/>
          <w:sz w:val="32"/>
          <w:szCs w:val="32"/>
        </w:rPr>
        <w:t>不超过500字）</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74" w:hRule="atLeast"/>
          <w:jc w:val="center"/>
        </w:trPr>
        <w:tc>
          <w:tcPr>
            <w:tcW w:w="92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4"/>
              </w:rPr>
            </w:pPr>
            <w:r>
              <w:rPr>
                <w:rFonts w:ascii="Times New Roman" w:hAnsi="Times New Roman" w:cs="Times New Roman"/>
                <w:color w:val="auto"/>
                <w:kern w:val="0"/>
                <w:sz w:val="24"/>
                <w:szCs w:val="20"/>
              </w:rPr>
              <w:t>（本课程今后五年继续面向高校和社会开放学习服务计划，包括面向高校的教学应用计划和面向社会开设期次、持续更新和提供教学服务设想等）</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通过校级</w:t>
            </w:r>
            <w:r>
              <w:rPr>
                <w:rFonts w:hint="eastAsia" w:ascii="仿宋" w:hAnsi="仿宋" w:eastAsia="仿宋"/>
                <w:color w:val="000000" w:themeColor="text1"/>
                <w:sz w:val="24"/>
                <w:szCs w:val="24"/>
                <w:lang w:val="en-US" w:eastAsia="zh-CN"/>
                <w14:textFill>
                  <w14:solidFill>
                    <w14:schemeClr w14:val="tx1"/>
                  </w14:solidFill>
                </w14:textFill>
              </w:rPr>
              <w:t>项目和省级选题项目的培育</w:t>
            </w:r>
            <w:r>
              <w:rPr>
                <w:rFonts w:hint="eastAsia" w:ascii="仿宋" w:hAnsi="仿宋" w:eastAsia="仿宋"/>
                <w:color w:val="000000" w:themeColor="text1"/>
                <w:sz w:val="24"/>
                <w:szCs w:val="24"/>
                <w14:textFill>
                  <w14:solidFill>
                    <w14:schemeClr w14:val="tx1"/>
                  </w14:solidFill>
                </w14:textFill>
              </w:rPr>
              <w:t>，目前该课程资源已初具雏形，为确保资源形式的丰富性和多样化，满足学习者的需求，对接行业企业需求，进一步开发完善基础教学资源、网络课程、多媒体课件、信息化教学设计方案、虚拟实训系统、电子教材建设等，进一步完善教学视频等，保证资源的持续更新率超15%。具体建设计划如下：</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20</w:t>
            </w:r>
            <w:r>
              <w:rPr>
                <w:rFonts w:hint="eastAsia" w:ascii="仿宋" w:hAnsi="仿宋" w:eastAsia="仿宋"/>
                <w:color w:val="000000" w:themeColor="text1"/>
                <w:sz w:val="24"/>
                <w:szCs w:val="24"/>
                <w:lang w:val="en-US" w:eastAsia="zh-CN"/>
                <w14:textFill>
                  <w14:solidFill>
                    <w14:schemeClr w14:val="tx1"/>
                  </w14:solidFill>
                </w14:textFill>
              </w:rPr>
              <w:t>20</w:t>
            </w:r>
            <w:r>
              <w:rPr>
                <w:rFonts w:hint="eastAsia" w:ascii="仿宋" w:hAnsi="仿宋" w:eastAsia="仿宋"/>
                <w:color w:val="000000" w:themeColor="text1"/>
                <w:sz w:val="24"/>
                <w:szCs w:val="24"/>
                <w14:textFill>
                  <w14:solidFill>
                    <w14:schemeClr w14:val="tx1"/>
                  </w14:solidFill>
                </w14:textFill>
              </w:rPr>
              <w:t>年完成开课期数</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期，视频资源量</w:t>
            </w:r>
            <w:r>
              <w:rPr>
                <w:rFonts w:hint="eastAsia" w:ascii="仿宋" w:hAnsi="仿宋" w:eastAsia="仿宋"/>
                <w:color w:val="000000" w:themeColor="text1"/>
                <w:sz w:val="24"/>
                <w:szCs w:val="24"/>
                <w:lang w:val="en-US" w:eastAsia="zh-CN"/>
                <w14:textFill>
                  <w14:solidFill>
                    <w14:schemeClr w14:val="tx1"/>
                  </w14:solidFill>
                </w14:textFill>
              </w:rPr>
              <w:t>20</w:t>
            </w:r>
            <w:r>
              <w:rPr>
                <w:rFonts w:hint="eastAsia" w:ascii="仿宋" w:hAnsi="仿宋" w:eastAsia="仿宋"/>
                <w:color w:val="000000" w:themeColor="text1"/>
                <w:sz w:val="24"/>
                <w:szCs w:val="24"/>
                <w14:textFill>
                  <w14:solidFill>
                    <w14:schemeClr w14:val="tx1"/>
                  </w14:solidFill>
                </w14:textFill>
              </w:rPr>
              <w:t>，非视频资源量100，习题量100，使用课程学校数1。</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202</w:t>
            </w:r>
            <w:r>
              <w:rPr>
                <w:rFonts w:hint="eastAsia" w:ascii="仿宋" w:hAnsi="仿宋" w:eastAsia="仿宋"/>
                <w:color w:val="000000" w:themeColor="text1"/>
                <w:sz w:val="24"/>
                <w:szCs w:val="24"/>
                <w:lang w:val="en-US" w:eastAsia="zh-CN"/>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年完成开课期数</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期，视频资源量2</w:t>
            </w:r>
            <w:r>
              <w:rPr>
                <w:rFonts w:hint="eastAsia" w:ascii="仿宋" w:hAnsi="仿宋" w:eastAsia="仿宋"/>
                <w:color w:val="000000" w:themeColor="text1"/>
                <w:sz w:val="24"/>
                <w:szCs w:val="24"/>
                <w:lang w:val="en-US" w:eastAsia="zh-CN"/>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，非视频资源量150，习题量150，使用课程学校数1。</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202</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年完成开课期数</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期，视频资源量3</w:t>
            </w:r>
            <w:r>
              <w:rPr>
                <w:rFonts w:hint="eastAsia" w:ascii="仿宋" w:hAnsi="仿宋" w:eastAsia="仿宋"/>
                <w:color w:val="000000" w:themeColor="text1"/>
                <w:sz w:val="24"/>
                <w:szCs w:val="24"/>
                <w:lang w:val="en-US" w:eastAsia="zh-CN"/>
                <w14:textFill>
                  <w14:solidFill>
                    <w14:schemeClr w14:val="tx1"/>
                  </w14:solidFill>
                </w14:textFill>
              </w:rPr>
              <w:t>0</w:t>
            </w:r>
            <w:r>
              <w:rPr>
                <w:rFonts w:hint="eastAsia" w:ascii="仿宋" w:hAnsi="仿宋" w:eastAsia="仿宋"/>
                <w:color w:val="000000" w:themeColor="text1"/>
                <w:sz w:val="24"/>
                <w:szCs w:val="24"/>
                <w14:textFill>
                  <w14:solidFill>
                    <w14:schemeClr w14:val="tx1"/>
                  </w14:solidFill>
                </w14:textFill>
              </w:rPr>
              <w:t>，非视频资源量200，习题量200，使用课程学校数1。</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202</w:t>
            </w:r>
            <w:r>
              <w:rPr>
                <w:rFonts w:hint="eastAsia" w:ascii="仿宋" w:hAnsi="仿宋" w:eastAsia="仿宋"/>
                <w:color w:val="000000" w:themeColor="text1"/>
                <w:sz w:val="24"/>
                <w:szCs w:val="24"/>
                <w:lang w:val="en-US" w:eastAsia="zh-CN"/>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年完成开课期数</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期，视频资源量</w:t>
            </w:r>
            <w:r>
              <w:rPr>
                <w:rFonts w:hint="eastAsia" w:ascii="仿宋" w:hAnsi="仿宋" w:eastAsia="仿宋"/>
                <w:color w:val="000000" w:themeColor="text1"/>
                <w:sz w:val="24"/>
                <w:szCs w:val="24"/>
                <w:lang w:val="en-US" w:eastAsia="zh-CN"/>
                <w14:textFill>
                  <w14:solidFill>
                    <w14:schemeClr w14:val="tx1"/>
                  </w14:solidFill>
                </w14:textFill>
              </w:rPr>
              <w:t>35</w:t>
            </w:r>
            <w:r>
              <w:rPr>
                <w:rFonts w:hint="eastAsia" w:ascii="仿宋" w:hAnsi="仿宋" w:eastAsia="仿宋"/>
                <w:color w:val="000000" w:themeColor="text1"/>
                <w:sz w:val="24"/>
                <w:szCs w:val="24"/>
                <w14:textFill>
                  <w14:solidFill>
                    <w14:schemeClr w14:val="tx1"/>
                  </w14:solidFill>
                </w14:textFill>
              </w:rPr>
              <w:t>，非视频资源量250，习题量250，使用课程学校数1。</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202</w:t>
            </w:r>
            <w:r>
              <w:rPr>
                <w:rFonts w:hint="eastAsia" w:ascii="仿宋" w:hAnsi="仿宋" w:eastAsia="仿宋"/>
                <w:color w:val="000000" w:themeColor="text1"/>
                <w:sz w:val="24"/>
                <w:szCs w:val="24"/>
                <w:lang w:val="en-US" w:eastAsia="zh-CN"/>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年完成开课期数</w:t>
            </w:r>
            <w:r>
              <w:rPr>
                <w:rFonts w:hint="eastAsia" w:ascii="仿宋" w:hAnsi="仿宋" w:eastAsia="仿宋"/>
                <w:color w:val="000000" w:themeColor="text1"/>
                <w:sz w:val="24"/>
                <w:szCs w:val="24"/>
                <w:lang w:val="en-US" w:eastAsia="zh-CN"/>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期，视频资源量4</w:t>
            </w:r>
            <w:r>
              <w:rPr>
                <w:rFonts w:hint="eastAsia" w:ascii="仿宋" w:hAnsi="仿宋" w:eastAsia="仿宋"/>
                <w:color w:val="000000" w:themeColor="text1"/>
                <w:sz w:val="24"/>
                <w:szCs w:val="24"/>
                <w:lang w:val="en-US" w:eastAsia="zh-CN"/>
                <w14:textFill>
                  <w14:solidFill>
                    <w14:schemeClr w14:val="tx1"/>
                  </w14:solidFill>
                </w14:textFill>
              </w:rPr>
              <w:t>0</w:t>
            </w:r>
            <w:r>
              <w:rPr>
                <w:rFonts w:hint="eastAsia" w:ascii="仿宋" w:hAnsi="仿宋" w:eastAsia="仿宋"/>
                <w:color w:val="000000" w:themeColor="text1"/>
                <w:sz w:val="24"/>
                <w:szCs w:val="24"/>
                <w14:textFill>
                  <w14:solidFill>
                    <w14:schemeClr w14:val="tx1"/>
                  </w14:solidFill>
                </w14:textFill>
              </w:rPr>
              <w:t>，非视频资源量300，习题量300，使用课程学校数1。</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outlineLvl w:val="9"/>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形成“校企联合、师生联合”资源共享互惠互利的局面。通过虚拟实训平台的建设将企业需求和项目汇聚起来，实现互惠互利。在推广应用过程中，不断完善课程资源，形成一个使用促进建设、建设促进使用的良性循环，在同类课程中不断扩大影响力，在推动大规模在线开放课程普及和发展中发挥示范引领作用。</w:t>
            </w: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4"/>
              </w:rPr>
            </w:pPr>
          </w:p>
        </w:tc>
      </w:tr>
    </w:tbl>
    <w:p>
      <w:pPr>
        <w:spacing w:line="400" w:lineRule="exact"/>
        <w:rPr>
          <w:rFonts w:ascii="Times New Roman" w:hAnsi="Times New Roman" w:eastAsia="黑体" w:cs="Times New Roman"/>
          <w:b/>
          <w:sz w:val="28"/>
          <w:szCs w:val="24"/>
        </w:rPr>
      </w:pPr>
      <w:r>
        <w:rPr>
          <w:rFonts w:ascii="Times New Roman" w:hAnsi="Times New Roman" w:eastAsia="黑体" w:cs="Times New Roman"/>
          <w:b/>
          <w:sz w:val="28"/>
        </w:rPr>
        <w:t>6.课程负责人承诺</w:t>
      </w:r>
    </w:p>
    <w:tbl>
      <w:tblPr>
        <w:tblStyle w:val="6"/>
        <w:tblpPr w:leftFromText="180" w:rightFromText="180" w:vertAnchor="text" w:tblpX="-147" w:tblpY="1"/>
        <w:tblOverlap w:val="never"/>
        <w:tblW w:w="8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0" w:hRule="atLeast"/>
        </w:trPr>
        <w:tc>
          <w:tcPr>
            <w:tcW w:w="892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rPr>
              <w:t>1.课程负责人保证课程资源内容不存在政治性、思想性、科学性和规范性问题；</w:t>
            </w:r>
          </w:p>
          <w:p>
            <w:pPr>
              <w:spacing w:line="400" w:lineRule="exact"/>
              <w:rPr>
                <w:rFonts w:ascii="Times New Roman" w:hAnsi="Times New Roman" w:eastAsia="仿宋" w:cs="Times New Roman"/>
                <w:sz w:val="24"/>
              </w:rPr>
            </w:pPr>
            <w:r>
              <w:rPr>
                <w:rFonts w:ascii="Times New Roman" w:hAnsi="Times New Roman" w:eastAsia="仿宋" w:cs="Times New Roman"/>
                <w:sz w:val="24"/>
              </w:rPr>
              <w:t>2.课程负责人保证申报所使用的课程资源知识产权清晰，无侵权使用的情况；</w:t>
            </w:r>
          </w:p>
          <w:p>
            <w:pPr>
              <w:spacing w:line="400" w:lineRule="exact"/>
              <w:rPr>
                <w:rFonts w:ascii="Times New Roman" w:hAnsi="Times New Roman" w:eastAsia="仿宋" w:cs="Times New Roman"/>
                <w:sz w:val="24"/>
              </w:rPr>
            </w:pPr>
            <w:r>
              <w:rPr>
                <w:rFonts w:ascii="Times New Roman" w:hAnsi="Times New Roman" w:eastAsia="仿宋" w:cs="Times New Roman"/>
                <w:sz w:val="24"/>
              </w:rPr>
              <w:t>3.课程负责人保证课程资源及申报材料不涉及国家安全和保密的相关规定，可以在网络上公开传播与使用。</w:t>
            </w:r>
          </w:p>
          <w:p>
            <w:pPr>
              <w:spacing w:line="400" w:lineRule="exact"/>
              <w:rPr>
                <w:rFonts w:ascii="Times New Roman" w:hAnsi="Times New Roman" w:eastAsia="仿宋" w:cs="Times New Roman"/>
                <w:sz w:val="24"/>
              </w:rPr>
            </w:pPr>
            <w:r>
              <w:rPr>
                <w:rFonts w:ascii="Times New Roman" w:hAnsi="Times New Roman" w:eastAsia="仿宋" w:cs="Times New Roman"/>
                <w:sz w:val="24"/>
              </w:rPr>
              <w:t>4.课程如若被认定为省级一流课程，将继续提供课程教学服务不少于5年。</w:t>
            </w:r>
          </w:p>
          <w:p>
            <w:pPr>
              <w:spacing w:line="400" w:lineRule="exact"/>
              <w:jc w:val="right"/>
              <w:rPr>
                <w:rFonts w:ascii="Times New Roman" w:hAnsi="Times New Roman" w:eastAsia="仿宋" w:cs="Times New Roman"/>
                <w:sz w:val="24"/>
              </w:rPr>
            </w:pPr>
          </w:p>
          <w:p>
            <w:pPr>
              <w:spacing w:line="400" w:lineRule="exact"/>
              <w:jc w:val="right"/>
              <w:rPr>
                <w:rFonts w:ascii="Times New Roman" w:hAnsi="Times New Roman" w:eastAsia="仿宋" w:cs="Times New Roman"/>
                <w:sz w:val="24"/>
              </w:rPr>
            </w:pPr>
          </w:p>
          <w:p>
            <w:pPr>
              <w:spacing w:line="400" w:lineRule="exact"/>
              <w:jc w:val="right"/>
              <w:rPr>
                <w:rFonts w:ascii="Times New Roman" w:hAnsi="Times New Roman" w:eastAsia="仿宋" w:cs="Times New Roman"/>
                <w:sz w:val="24"/>
              </w:rPr>
            </w:pPr>
          </w:p>
          <w:p>
            <w:pPr>
              <w:spacing w:line="400" w:lineRule="exact"/>
              <w:jc w:val="center"/>
              <w:rPr>
                <w:rFonts w:ascii="Times New Roman" w:hAnsi="Times New Roman" w:eastAsia="仿宋" w:cs="Times New Roman"/>
                <w:sz w:val="24"/>
              </w:rPr>
            </w:pPr>
            <w:r>
              <w:rPr>
                <w:rFonts w:ascii="Times New Roman" w:hAnsi="Times New Roman" w:eastAsia="仿宋" w:cs="Times New Roman"/>
                <w:sz w:val="24"/>
              </w:rPr>
              <w:t xml:space="preserve">                            课程负责人签字：</w:t>
            </w:r>
          </w:p>
          <w:p>
            <w:pPr>
              <w:spacing w:line="400" w:lineRule="exact"/>
              <w:jc w:val="center"/>
              <w:rPr>
                <w:rFonts w:ascii="Times New Roman" w:hAnsi="Times New Roman" w:eastAsia="楷体" w:cs="Times New Roman"/>
                <w:sz w:val="24"/>
                <w:szCs w:val="24"/>
              </w:rPr>
            </w:pPr>
            <w:r>
              <w:rPr>
                <w:rFonts w:ascii="Times New Roman" w:hAnsi="Times New Roman" w:eastAsia="仿宋" w:cs="Times New Roman"/>
                <w:sz w:val="24"/>
              </w:rPr>
              <w:t xml:space="preserve">                                                       年    月    日</w:t>
            </w:r>
          </w:p>
        </w:tc>
      </w:tr>
    </w:tbl>
    <w:p>
      <w:pPr>
        <w:rPr>
          <w:rFonts w:ascii="Times New Roman" w:hAnsi="Times New Roman" w:eastAsia="黑体" w:cs="Times New Roman"/>
          <w:sz w:val="32"/>
          <w:szCs w:val="32"/>
        </w:rPr>
      </w:pPr>
      <w:r>
        <w:rPr>
          <w:rFonts w:ascii="Times New Roman" w:hAnsi="Times New Roman" w:eastAsia="黑体" w:cs="Times New Roman"/>
          <w:b/>
          <w:sz w:val="28"/>
        </w:rPr>
        <w:t>7.</w:t>
      </w:r>
      <w:r>
        <w:rPr>
          <w:rFonts w:ascii="Times New Roman" w:hAnsi="Times New Roman" w:eastAsia="黑体" w:cs="Times New Roman"/>
          <w:sz w:val="32"/>
          <w:szCs w:val="32"/>
        </w:rPr>
        <w:t>附件材料清单</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jc w:val="center"/>
        </w:trPr>
        <w:tc>
          <w:tcPr>
            <w:tcW w:w="92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napToGrid w:val="0"/>
              <w:spacing w:line="400" w:lineRule="exact"/>
              <w:ind w:firstLine="480" w:firstLineChars="200"/>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1.政治审查意见（必须提供）</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（本校党委对课程团队成员情况进行审查，以及对课程政治导向把关审查情况，确保课程正确的政治方向、价值取向。须由学校党委盖章。无统一格式要求。）</w:t>
            </w:r>
          </w:p>
          <w:p>
            <w:pPr>
              <w:snapToGrid w:val="0"/>
              <w:spacing w:line="400" w:lineRule="exact"/>
              <w:ind w:firstLine="360" w:firstLineChars="150"/>
              <w:rPr>
                <w:rFonts w:ascii="Times New Roman" w:hAnsi="Times New Roman" w:cs="Times New Roman"/>
                <w:color w:val="auto"/>
                <w:kern w:val="0"/>
                <w:sz w:val="24"/>
                <w:szCs w:val="20"/>
              </w:rPr>
            </w:pPr>
            <w:r>
              <w:rPr>
                <w:rFonts w:ascii="Times New Roman" w:hAnsi="Times New Roman" w:cs="Times New Roman"/>
                <w:color w:val="auto"/>
                <w:kern w:val="0"/>
                <w:sz w:val="24"/>
                <w:szCs w:val="20"/>
              </w:rPr>
              <w:t>2.学术性评价意见（必须提供）</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学术评价意见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3.课程数据信息表（必须提供）</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（按照附件10格式提供，须课程平台单位盖章）</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4.校外评价意见（可选提供）</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此评价意见作为课程有关学术水平、课程质量、应用效果等某一方面的佐证性材料或补充材料，可由教育部教指委等专家组织，有关学术组织、课程联盟组织、课程平台、课程应用高校（或高校相应院系）等出具，也可由相应学科专业领域的校外专家学者出具。须相关单位盖章或专家签字。评价意见以1份为宜，不得超过２份。无统一格式要求。]</w:t>
            </w:r>
          </w:p>
          <w:p>
            <w:pPr>
              <w:snapToGrid w:val="0"/>
              <w:spacing w:line="400" w:lineRule="exact"/>
              <w:rPr>
                <w:rFonts w:ascii="Times New Roman" w:hAnsi="Times New Roman" w:eastAsia="宋体" w:cs="Times New Roman"/>
                <w:color w:val="auto"/>
                <w:kern w:val="0"/>
                <w:sz w:val="24"/>
                <w:szCs w:val="24"/>
              </w:rPr>
            </w:pPr>
          </w:p>
        </w:tc>
      </w:tr>
    </w:tbl>
    <w:p>
      <w:pPr>
        <w:rPr>
          <w:rFonts w:ascii="Times New Roman" w:hAnsi="Times New Roman" w:eastAsia="黑体" w:cs="Times New Roman"/>
          <w:sz w:val="32"/>
          <w:szCs w:val="32"/>
        </w:rPr>
      </w:pPr>
    </w:p>
    <w:p>
      <w:pPr>
        <w:rPr>
          <w:rFonts w:ascii="Times New Roman" w:hAnsi="Times New Roman" w:eastAsia="黑体" w:cs="Times New Roman"/>
          <w:sz w:val="32"/>
          <w:szCs w:val="32"/>
        </w:rPr>
      </w:pPr>
      <w:r>
        <w:rPr>
          <w:rFonts w:ascii="Times New Roman" w:hAnsi="Times New Roman" w:eastAsia="黑体" w:cs="Times New Roman"/>
          <w:sz w:val="32"/>
          <w:szCs w:val="32"/>
        </w:rPr>
        <w:t>八、推荐学校承诺意见</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52" w:hRule="atLeast"/>
          <w:jc w:val="center"/>
        </w:trPr>
        <w:tc>
          <w:tcPr>
            <w:tcW w:w="921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napToGrid w:val="0"/>
              <w:spacing w:line="400" w:lineRule="exact"/>
              <w:ind w:firstLine="480" w:firstLineChars="200"/>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本校已按照推荐要求组织相关机构对申报课程网上内容和教学活动进行了审查，对课程有关信息及课程负责人填报的内容进行了核实。经对该课程评审评价，择优申报推荐。</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该课程如果被认定为“湖南省一流本科课程”，学校承诺为课程团队提供政策、经济等方面的支持，确保该课程继续建设五年。学校同意课程建设和改革成果在指定的网站上公开展示和分享。学校将监督课程教学团队经审核程序后更新资源和数据。</w:t>
            </w:r>
          </w:p>
          <w:p>
            <w:pPr>
              <w:snapToGrid w:val="0"/>
              <w:spacing w:line="400" w:lineRule="exact"/>
              <w:rPr>
                <w:rFonts w:ascii="Times New Roman" w:hAnsi="Times New Roman" w:cs="Times New Roman"/>
                <w:color w:val="auto"/>
                <w:kern w:val="0"/>
                <w:sz w:val="24"/>
                <w:szCs w:val="20"/>
              </w:rPr>
            </w:pPr>
          </w:p>
          <w:p>
            <w:pPr>
              <w:snapToGrid w:val="0"/>
              <w:spacing w:line="400" w:lineRule="exact"/>
              <w:rPr>
                <w:rFonts w:ascii="Times New Roman" w:hAnsi="Times New Roman" w:cs="Times New Roman"/>
                <w:color w:val="auto"/>
                <w:kern w:val="0"/>
                <w:sz w:val="24"/>
                <w:szCs w:val="20"/>
              </w:rPr>
            </w:pPr>
          </w:p>
          <w:p>
            <w:pPr>
              <w:snapToGrid w:val="0"/>
              <w:spacing w:line="400" w:lineRule="exact"/>
              <w:ind w:firstLine="5640" w:firstLineChars="2350"/>
              <w:rPr>
                <w:rFonts w:ascii="Times New Roman" w:hAnsi="Times New Roman" w:cs="Times New Roman"/>
                <w:color w:val="auto"/>
                <w:kern w:val="0"/>
                <w:sz w:val="24"/>
                <w:szCs w:val="20"/>
              </w:rPr>
            </w:pPr>
            <w:r>
              <w:rPr>
                <w:rFonts w:ascii="Times New Roman" w:hAnsi="Times New Roman" w:cs="Times New Roman"/>
                <w:color w:val="auto"/>
                <w:kern w:val="0"/>
                <w:sz w:val="24"/>
                <w:szCs w:val="20"/>
              </w:rPr>
              <w:t>主管校领导签字：</w:t>
            </w:r>
          </w:p>
          <w:p>
            <w:pPr>
              <w:snapToGrid w:val="0"/>
              <w:spacing w:line="400" w:lineRule="exact"/>
              <w:ind w:firstLine="6840" w:firstLineChars="2850"/>
              <w:rPr>
                <w:rFonts w:ascii="Times New Roman" w:hAnsi="Times New Roman" w:cs="Times New Roman"/>
                <w:color w:val="auto"/>
                <w:kern w:val="0"/>
                <w:sz w:val="24"/>
                <w:szCs w:val="20"/>
              </w:rPr>
            </w:pPr>
            <w:r>
              <w:rPr>
                <w:rFonts w:ascii="Times New Roman" w:hAnsi="Times New Roman" w:cs="Times New Roman"/>
                <w:color w:val="auto"/>
                <w:kern w:val="0"/>
                <w:sz w:val="24"/>
                <w:szCs w:val="20"/>
              </w:rPr>
              <w:t>（学校公章）</w:t>
            </w:r>
          </w:p>
          <w:p>
            <w:pPr>
              <w:snapToGrid w:val="0"/>
              <w:spacing w:line="400" w:lineRule="exact"/>
              <w:rPr>
                <w:rFonts w:ascii="Times New Roman" w:hAnsi="Times New Roman" w:cs="Times New Roman"/>
                <w:color w:val="auto"/>
                <w:kern w:val="0"/>
                <w:sz w:val="24"/>
                <w:szCs w:val="20"/>
              </w:rPr>
            </w:pPr>
          </w:p>
          <w:p>
            <w:pPr>
              <w:snapToGrid w:val="0"/>
              <w:spacing w:line="400" w:lineRule="exact"/>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 xml:space="preserve">                                                       年    月    日</w:t>
            </w:r>
          </w:p>
        </w:tc>
      </w:tr>
    </w:tbl>
    <w:p>
      <w:pPr>
        <w:widowControl/>
        <w:shd w:val="clear" w:color="auto" w:fill="FFFFFF"/>
        <w:spacing w:line="560" w:lineRule="exact"/>
        <w:jc w:val="left"/>
        <w:rPr>
          <w:rFonts w:ascii="Times New Roman" w:hAnsi="Times New Roman" w:eastAsia="黑体" w:cs="Times New Roman"/>
          <w:sz w:val="32"/>
          <w:szCs w:val="36"/>
        </w:rPr>
      </w:pPr>
    </w:p>
    <w:p>
      <w:pPr>
        <w:widowControl/>
        <w:shd w:val="clear" w:color="auto" w:fill="FFFFFF"/>
        <w:spacing w:line="560" w:lineRule="exact"/>
        <w:jc w:val="left"/>
        <w:rPr>
          <w:rFonts w:ascii="Times New Roman" w:hAnsi="Times New Roman" w:eastAsia="黑体" w:cs="Times New Roman"/>
          <w:sz w:val="32"/>
          <w:szCs w:val="36"/>
        </w:rPr>
      </w:pPr>
    </w:p>
    <w:sectPr>
      <w:footerReference r:id="rId3" w:type="default"/>
      <w:footerReference r:id="rId4"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t xml:space="preserve"> </w:t>
    </w:r>
    <w:r>
      <w:rPr>
        <w:rFonts w:hint="eastAsia" w:asciiTheme="minorEastAsia" w:hAnsiTheme="minorEastAsia"/>
        <w:sz w:val="28"/>
        <w:szCs w:val="28"/>
      </w:rPr>
      <w:t>－</w:t>
    </w:r>
    <w:sdt>
      <w:sdtPr>
        <w:rPr>
          <w:rFonts w:asciiTheme="minorEastAsia" w:hAnsiTheme="minorEastAsia"/>
          <w:sz w:val="28"/>
          <w:szCs w:val="28"/>
        </w:rPr>
        <w:id w:val="1912649914"/>
        <w:docPartObj>
          <w:docPartGallery w:val="autotext"/>
        </w:docPartObj>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5</w:t>
        </w:r>
        <w:r>
          <w:rPr>
            <w:rFonts w:asciiTheme="minorEastAsia" w:hAnsiTheme="minorEastAsia"/>
            <w:sz w:val="28"/>
            <w:szCs w:val="28"/>
          </w:rPr>
          <w:fldChar w:fldCharType="end"/>
        </w:r>
        <w:r>
          <w:rPr>
            <w:rFonts w:hint="eastAsia" w:asciiTheme="minorEastAsia" w:hAnsiTheme="minorEastAsia"/>
            <w:sz w:val="28"/>
            <w:szCs w:val="28"/>
          </w:rPr>
          <w:t>－</w:t>
        </w:r>
      </w:sdtContent>
    </w:sdt>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406808518"/>
      <w:docPartObj>
        <w:docPartGallery w:val="autotext"/>
      </w:docPartObj>
    </w:sdtPr>
    <w:sdtEndPr>
      <w:rPr>
        <w:rFonts w:asciiTheme="minorEastAsia" w:hAnsiTheme="minorEastAsia"/>
        <w:sz w:val="28"/>
        <w:szCs w:val="28"/>
      </w:rPr>
    </w:sdtEndPr>
    <w:sdtContent>
      <w:p>
        <w:pPr>
          <w:pStyle w:val="4"/>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6</w:t>
        </w:r>
        <w:r>
          <w:rPr>
            <w:rFonts w:asciiTheme="minorEastAsia" w:hAnsiTheme="minorEastAsia"/>
            <w:sz w:val="28"/>
            <w:szCs w:val="28"/>
          </w:rPr>
          <w:fldChar w:fldCharType="end"/>
        </w:r>
        <w:r>
          <w:rPr>
            <w:rFonts w:hint="eastAsia" w:asciiTheme="minorEastAsia" w:hAnsiTheme="minorEastAsia"/>
            <w:sz w:val="28"/>
            <w:szCs w:val="28"/>
          </w:rPr>
          <w:t>－</w:t>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documentProtection w:enforcement="0"/>
  <w:defaultTabStop w:val="420"/>
  <w:evenAndOddHeaders w:val="1"/>
  <w:drawingGridHorizontalSpacing w:val="96"/>
  <w:drawingGridVerticalSpacing w:val="3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D31B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084D"/>
    <w:rsid w:val="00A71957"/>
    <w:rsid w:val="00AA24CB"/>
    <w:rsid w:val="00AC0362"/>
    <w:rsid w:val="00AC5173"/>
    <w:rsid w:val="00AE0968"/>
    <w:rsid w:val="00AE23F4"/>
    <w:rsid w:val="00AF0F5F"/>
    <w:rsid w:val="00AF6DF0"/>
    <w:rsid w:val="00B229FC"/>
    <w:rsid w:val="00B31347"/>
    <w:rsid w:val="00B418AE"/>
    <w:rsid w:val="00B66789"/>
    <w:rsid w:val="00B70362"/>
    <w:rsid w:val="00B73CFB"/>
    <w:rsid w:val="00B75500"/>
    <w:rsid w:val="00B9406A"/>
    <w:rsid w:val="00B95D42"/>
    <w:rsid w:val="00BA56F4"/>
    <w:rsid w:val="00BA7924"/>
    <w:rsid w:val="00BB5782"/>
    <w:rsid w:val="00BC4474"/>
    <w:rsid w:val="00BE63D4"/>
    <w:rsid w:val="00C14F2F"/>
    <w:rsid w:val="00C1636C"/>
    <w:rsid w:val="00C40FF2"/>
    <w:rsid w:val="00C72B04"/>
    <w:rsid w:val="00C74135"/>
    <w:rsid w:val="00CC24B6"/>
    <w:rsid w:val="00CE6E5A"/>
    <w:rsid w:val="00D37683"/>
    <w:rsid w:val="00D420FF"/>
    <w:rsid w:val="00D55717"/>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 w:val="0D854842"/>
    <w:rsid w:val="15B9006B"/>
    <w:rsid w:val="21606EFC"/>
    <w:rsid w:val="32BE6B91"/>
    <w:rsid w:val="346013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6"/>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color w:val="000000" w:themeColor="text1"/>
      <w:kern w:val="0"/>
      <w:sz w:val="20"/>
      <w:szCs w:val="20"/>
      <w14:textFill>
        <w14:solidFill>
          <w14:schemeClr w14:val="tx1"/>
        </w14:solidFill>
      </w14:textFill>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Emphasis"/>
    <w:basedOn w:val="8"/>
    <w:qFormat/>
    <w:uiPriority w:val="20"/>
    <w:rPr>
      <w:i/>
      <w:iCs/>
    </w:rPr>
  </w:style>
  <w:style w:type="character" w:styleId="10">
    <w:name w:val="Hyperlink"/>
    <w:basedOn w:val="8"/>
    <w:unhideWhenUsed/>
    <w:uiPriority w:val="99"/>
    <w:rPr>
      <w:color w:val="0563C1" w:themeColor="hyperlink"/>
      <w:u w:val="single"/>
      <w14:textFill>
        <w14:solidFill>
          <w14:schemeClr w14:val="hlink"/>
        </w14:solidFill>
      </w14:textFill>
    </w:rPr>
  </w:style>
  <w:style w:type="character" w:customStyle="1" w:styleId="11">
    <w:name w:val="页眉 Char"/>
    <w:basedOn w:val="8"/>
    <w:link w:val="5"/>
    <w:uiPriority w:val="99"/>
    <w:rPr>
      <w:sz w:val="18"/>
      <w:szCs w:val="18"/>
    </w:rPr>
  </w:style>
  <w:style w:type="character" w:customStyle="1" w:styleId="12">
    <w:name w:val="页脚 Char"/>
    <w:basedOn w:val="8"/>
    <w:link w:val="4"/>
    <w:qFormat/>
    <w:uiPriority w:val="99"/>
    <w:rPr>
      <w:sz w:val="18"/>
      <w:szCs w:val="18"/>
    </w:rPr>
  </w:style>
  <w:style w:type="paragraph" w:customStyle="1" w:styleId="13">
    <w:name w:val="_Style 2"/>
    <w:basedOn w:val="1"/>
    <w:qFormat/>
    <w:uiPriority w:val="34"/>
    <w:pPr>
      <w:ind w:firstLine="420" w:firstLineChars="200"/>
    </w:pPr>
    <w:rPr>
      <w:rFonts w:ascii="等线" w:hAnsi="等线" w:eastAsia="等线" w:cs="Times New Roman"/>
    </w:rPr>
  </w:style>
  <w:style w:type="paragraph" w:styleId="14">
    <w:name w:val="List Paragraph"/>
    <w:basedOn w:val="1"/>
    <w:qFormat/>
    <w:uiPriority w:val="34"/>
    <w:pPr>
      <w:spacing w:line="520" w:lineRule="exact"/>
      <w:ind w:firstLine="420" w:firstLineChars="200"/>
      <w:jc w:val="left"/>
    </w:pPr>
    <w:rPr>
      <w:rFonts w:ascii="Calibri" w:hAnsi="Calibri" w:eastAsia="宋体" w:cs="Times New Roman"/>
    </w:rPr>
  </w:style>
  <w:style w:type="character" w:customStyle="1" w:styleId="15">
    <w:name w:val="日期 Char"/>
    <w:basedOn w:val="8"/>
    <w:link w:val="2"/>
    <w:semiHidden/>
    <w:qFormat/>
    <w:uiPriority w:val="99"/>
  </w:style>
  <w:style w:type="character" w:customStyle="1" w:styleId="16">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125623-64C0-4390-9A69-C20A82CDC972}">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8</Pages>
  <Words>294</Words>
  <Characters>1676</Characters>
  <Lines>13</Lines>
  <Paragraphs>3</Paragraphs>
  <TotalTime>153</TotalTime>
  <ScaleCrop>false</ScaleCrop>
  <LinksUpToDate>false</LinksUpToDate>
  <CharactersWithSpaces>1967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2020-11-16T01:14:00Z</dcterms:created>
  <dc:creator>先森 陈</dc:creator>
  <cp:lastModifiedBy>小笨</cp:lastModifiedBy>
  <cp:lastPrinted>2020-11-17T01:06:00Z</cp:lastPrinted>
  <dcterms:modified xsi:type="dcterms:W3CDTF">2020-12-30T03:47:15Z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